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B223E6">
      <w:pPr>
        <w:spacing w:line="300" w:lineRule="auto"/>
        <w:jc w:val="center"/>
        <w:rPr>
          <w:rFonts w:ascii="楷体" w:hAnsi="楷体" w:eastAsia="楷体" w:cs="宋体"/>
          <w:b/>
          <w:kern w:val="0"/>
          <w:sz w:val="30"/>
          <w:szCs w:val="30"/>
        </w:rPr>
      </w:pPr>
      <w:r>
        <w:rPr>
          <w:rFonts w:hint="eastAsia" w:ascii="楷体" w:hAnsi="楷体" w:eastAsia="楷体" w:cs="宋体"/>
          <w:b/>
          <w:kern w:val="0"/>
          <w:sz w:val="30"/>
          <w:szCs w:val="30"/>
        </w:rPr>
        <w:t>药学院</w:t>
      </w:r>
      <w:r>
        <w:rPr>
          <w:rFonts w:hint="eastAsia" w:ascii="楷体" w:hAnsi="楷体" w:eastAsia="楷体" w:cs="宋体"/>
          <w:b/>
          <w:kern w:val="0"/>
          <w:sz w:val="30"/>
          <w:szCs w:val="30"/>
          <w:lang w:val="en-US" w:eastAsia="zh-CN"/>
        </w:rPr>
        <w:t>优秀研究生干部评选</w:t>
      </w:r>
      <w:r>
        <w:rPr>
          <w:rFonts w:hint="eastAsia" w:ascii="楷体" w:hAnsi="楷体" w:eastAsia="楷体" w:cs="宋体"/>
          <w:b/>
          <w:kern w:val="0"/>
          <w:sz w:val="30"/>
          <w:szCs w:val="30"/>
        </w:rPr>
        <w:t>细则</w:t>
      </w:r>
    </w:p>
    <w:p w14:paraId="5B4263DD">
      <w:pPr>
        <w:widowControl/>
        <w:spacing w:line="300" w:lineRule="auto"/>
        <w:ind w:firstLine="420" w:firstLineChars="200"/>
        <w:rPr>
          <w:rFonts w:ascii="仿宋_GB2312" w:hAnsi="ˎ̥" w:eastAsia="仿宋_GB2312" w:cs="宋体"/>
          <w:kern w:val="0"/>
          <w:szCs w:val="21"/>
        </w:rPr>
      </w:pPr>
    </w:p>
    <w:p w14:paraId="6C6BF979">
      <w:pPr>
        <w:spacing w:line="300" w:lineRule="auto"/>
        <w:ind w:firstLine="480" w:firstLineChars="200"/>
        <w:rPr>
          <w:rFonts w:hint="eastAsia" w:ascii="楷体" w:hAnsi="楷体" w:eastAsia="楷体"/>
          <w:sz w:val="24"/>
          <w:lang w:val="en-US" w:eastAsia="zh-CN"/>
        </w:rPr>
      </w:pPr>
      <w:r>
        <w:rPr>
          <w:rFonts w:hint="eastAsia" w:ascii="楷体" w:hAnsi="楷体" w:eastAsia="楷体"/>
          <w:sz w:val="24"/>
          <w:lang w:val="en-US" w:eastAsia="zh-CN"/>
        </w:rPr>
        <w:t>根据《深化新时代教育评价改革总体方案》（中发〔2020〕19号）、《学生资助资金管理办法》（财教〔2021〕310号) 、《湖南省学生资助资金管理办法》（湘财教〔2022〕13 号）、《关于印发〈吉首大学研究生奖助资金管理办法（2025 年修订）〉的通知》（吉大发〔2025〕42号）、《吉首大学 研究生综合素质评价实施办法（试行）》（吉大发〔2023〕 17号）等相关文件精神，结合学院实际，制定本实施办法。规定如下：</w:t>
      </w:r>
    </w:p>
    <w:p w14:paraId="6979A022">
      <w:pPr>
        <w:spacing w:line="300" w:lineRule="auto"/>
        <w:ind w:firstLine="480" w:firstLineChars="200"/>
        <w:rPr>
          <w:rFonts w:hint="default" w:ascii="楷体" w:hAnsi="楷体" w:eastAsia="楷体"/>
          <w:sz w:val="24"/>
          <w:lang w:val="en-US" w:eastAsia="zh-CN"/>
        </w:rPr>
      </w:pPr>
    </w:p>
    <w:p w14:paraId="3B6C066D">
      <w:pPr>
        <w:widowControl/>
        <w:spacing w:line="300" w:lineRule="auto"/>
        <w:ind w:firstLine="482" w:firstLineChars="200"/>
        <w:rPr>
          <w:rFonts w:hint="default" w:ascii="楷体" w:hAnsi="楷体" w:eastAsia="楷体" w:cs="宋体"/>
          <w:b/>
          <w:bCs/>
          <w:kern w:val="0"/>
          <w:sz w:val="24"/>
          <w:lang w:val="en-US" w:eastAsia="zh-CN"/>
        </w:rPr>
      </w:pPr>
      <w:r>
        <w:rPr>
          <w:rFonts w:hint="eastAsia" w:ascii="楷体" w:hAnsi="楷体" w:eastAsia="楷体" w:cs="宋体"/>
          <w:b/>
          <w:bCs/>
          <w:kern w:val="0"/>
          <w:sz w:val="24"/>
        </w:rPr>
        <w:t>一、</w:t>
      </w:r>
      <w:r>
        <w:rPr>
          <w:rFonts w:hint="eastAsia" w:ascii="楷体" w:hAnsi="楷体" w:eastAsia="楷体" w:cs="宋体"/>
          <w:b/>
          <w:bCs/>
          <w:kern w:val="0"/>
          <w:sz w:val="24"/>
          <w:lang w:val="en-US" w:eastAsia="zh-CN"/>
        </w:rPr>
        <w:t>评奖对象</w:t>
      </w:r>
    </w:p>
    <w:p w14:paraId="4DBDB21D">
      <w:pPr>
        <w:spacing w:line="300" w:lineRule="auto"/>
        <w:ind w:firstLine="480" w:firstLineChars="200"/>
        <w:rPr>
          <w:rFonts w:hint="eastAsia" w:ascii="楷体" w:hAnsi="楷体" w:eastAsia="楷体"/>
          <w:sz w:val="24"/>
        </w:rPr>
      </w:pPr>
      <w:r>
        <w:rPr>
          <w:rFonts w:hint="eastAsia" w:ascii="楷体" w:hAnsi="楷体" w:eastAsia="楷体"/>
          <w:sz w:val="24"/>
          <w:lang w:val="en-US" w:eastAsia="zh-CN"/>
        </w:rPr>
        <w:t>优秀研究生干部</w:t>
      </w:r>
      <w:r>
        <w:rPr>
          <w:rFonts w:hint="eastAsia" w:ascii="楷体" w:hAnsi="楷体" w:eastAsia="楷体"/>
          <w:sz w:val="24"/>
        </w:rPr>
        <w:t>的评审对象为所有具有中华人民共和国国籍且纳入全国研究生招生计划的全日制（全脱产学习）研究生，超出学制修业年限的研究生，不再具备参评资格。不得将不符合要求的学生纳入评审范围。</w:t>
      </w:r>
    </w:p>
    <w:p w14:paraId="03A8D71D">
      <w:pPr>
        <w:spacing w:line="300" w:lineRule="auto"/>
        <w:ind w:firstLine="480" w:firstLineChars="200"/>
        <w:rPr>
          <w:rFonts w:hint="eastAsia" w:ascii="楷体" w:hAnsi="楷体" w:eastAsia="楷体"/>
          <w:sz w:val="24"/>
        </w:rPr>
      </w:pPr>
    </w:p>
    <w:p w14:paraId="595E7E64">
      <w:pPr>
        <w:widowControl/>
        <w:spacing w:line="300" w:lineRule="auto"/>
        <w:ind w:firstLine="482" w:firstLineChars="200"/>
        <w:rPr>
          <w:rFonts w:ascii="楷体" w:hAnsi="楷体" w:eastAsia="楷体" w:cs="宋体"/>
          <w:b/>
          <w:bCs/>
          <w:kern w:val="0"/>
          <w:sz w:val="24"/>
        </w:rPr>
      </w:pPr>
      <w:r>
        <w:rPr>
          <w:rFonts w:hint="eastAsia" w:ascii="楷体" w:hAnsi="楷体" w:eastAsia="楷体" w:cs="宋体"/>
          <w:b/>
          <w:bCs/>
          <w:kern w:val="0"/>
          <w:sz w:val="24"/>
        </w:rPr>
        <w:t>二、组织实施</w:t>
      </w:r>
    </w:p>
    <w:p w14:paraId="743FEB2C">
      <w:pPr>
        <w:spacing w:line="300" w:lineRule="auto"/>
        <w:ind w:firstLine="480" w:firstLineChars="200"/>
        <w:rPr>
          <w:rFonts w:ascii="楷体" w:hAnsi="楷体" w:eastAsia="楷体"/>
          <w:sz w:val="24"/>
        </w:rPr>
      </w:pPr>
      <w:r>
        <w:rPr>
          <w:rFonts w:hint="eastAsia" w:ascii="楷体" w:hAnsi="楷体" w:eastAsia="楷体"/>
          <w:sz w:val="24"/>
          <w:lang w:val="en-US" w:eastAsia="zh-CN"/>
        </w:rPr>
        <w:t>优秀研究生干部</w:t>
      </w:r>
      <w:r>
        <w:rPr>
          <w:rFonts w:hint="eastAsia" w:ascii="楷体" w:hAnsi="楷体" w:eastAsia="楷体"/>
          <w:sz w:val="24"/>
        </w:rPr>
        <w:t>测评必须坚持公开、公平和公正的原则，组织实施步骤如下：</w:t>
      </w:r>
    </w:p>
    <w:p w14:paraId="1FDED845">
      <w:pPr>
        <w:spacing w:line="300" w:lineRule="auto"/>
        <w:ind w:firstLine="480" w:firstLineChars="200"/>
        <w:rPr>
          <w:rFonts w:ascii="楷体" w:hAnsi="楷体" w:eastAsia="楷体"/>
          <w:sz w:val="24"/>
        </w:rPr>
      </w:pPr>
      <w:r>
        <w:rPr>
          <w:rFonts w:hint="eastAsia" w:ascii="楷体" w:hAnsi="楷体" w:eastAsia="楷体"/>
          <w:sz w:val="24"/>
        </w:rPr>
        <w:t>（一）组织机构</w:t>
      </w:r>
    </w:p>
    <w:p w14:paraId="7C37A59F">
      <w:pPr>
        <w:spacing w:line="300" w:lineRule="auto"/>
        <w:ind w:firstLine="480" w:firstLineChars="200"/>
        <w:rPr>
          <w:rFonts w:ascii="楷体" w:hAnsi="楷体" w:eastAsia="楷体"/>
          <w:sz w:val="24"/>
        </w:rPr>
      </w:pPr>
      <w:r>
        <w:rPr>
          <w:rFonts w:hint="eastAsia" w:ascii="楷体" w:hAnsi="楷体" w:eastAsia="楷体"/>
          <w:sz w:val="24"/>
        </w:rPr>
        <w:t>1、成立</w:t>
      </w:r>
      <w:r>
        <w:rPr>
          <w:rFonts w:hint="eastAsia" w:ascii="楷体" w:hAnsi="楷体" w:eastAsia="楷体"/>
          <w:sz w:val="24"/>
          <w:lang w:val="en-US" w:eastAsia="zh-CN"/>
        </w:rPr>
        <w:t>优秀研究生干部</w:t>
      </w:r>
      <w:r>
        <w:rPr>
          <w:rFonts w:hint="eastAsia" w:ascii="楷体" w:hAnsi="楷体" w:eastAsia="楷体"/>
          <w:sz w:val="24"/>
        </w:rPr>
        <w:t>评价工作小组。由学院党委书记任组长，分管研究生教育工作的院领导任副组长，成员由导师代表、研究生秘书、研究生专干和研究生代表等人组成。工作小组主要负责制定本单位</w:t>
      </w:r>
      <w:r>
        <w:rPr>
          <w:rFonts w:hint="eastAsia" w:ascii="楷体" w:hAnsi="楷体" w:eastAsia="楷体"/>
          <w:sz w:val="24"/>
          <w:lang w:val="en-US" w:eastAsia="zh-CN"/>
        </w:rPr>
        <w:t>优秀研究生干部</w:t>
      </w:r>
      <w:r>
        <w:rPr>
          <w:rFonts w:hint="eastAsia" w:ascii="楷体" w:hAnsi="楷体" w:eastAsia="楷体"/>
          <w:sz w:val="24"/>
        </w:rPr>
        <w:t>评价实施细则，具体组织、监督本学院综合评价，解决本学院综合评价纠纷，并做好相关思想教育及稳定工作。</w:t>
      </w:r>
    </w:p>
    <w:p w14:paraId="3A23F165">
      <w:pPr>
        <w:spacing w:line="300" w:lineRule="auto"/>
        <w:ind w:firstLine="480" w:firstLineChars="200"/>
        <w:rPr>
          <w:rFonts w:ascii="楷体" w:hAnsi="楷体" w:eastAsia="楷体"/>
          <w:sz w:val="24"/>
        </w:rPr>
      </w:pPr>
    </w:p>
    <w:p w14:paraId="0CCE8E38">
      <w:pPr>
        <w:spacing w:line="300" w:lineRule="auto"/>
        <w:ind w:firstLine="480" w:firstLineChars="200"/>
        <w:rPr>
          <w:rFonts w:ascii="楷体" w:hAnsi="楷体" w:eastAsia="楷体"/>
          <w:sz w:val="24"/>
        </w:rPr>
      </w:pPr>
      <w:r>
        <w:rPr>
          <w:rFonts w:hint="eastAsia" w:ascii="楷体" w:hAnsi="楷体" w:eastAsia="楷体"/>
          <w:sz w:val="24"/>
        </w:rPr>
        <w:t>（二）测评程序</w:t>
      </w:r>
    </w:p>
    <w:p w14:paraId="1C8D55DF">
      <w:pPr>
        <w:spacing w:line="300" w:lineRule="auto"/>
        <w:ind w:firstLine="480" w:firstLineChars="200"/>
        <w:rPr>
          <w:rFonts w:ascii="楷体" w:hAnsi="楷体" w:eastAsia="楷体"/>
          <w:sz w:val="24"/>
          <w:highlight w:val="none"/>
        </w:rPr>
      </w:pPr>
      <w:r>
        <w:rPr>
          <w:rFonts w:hint="eastAsia" w:ascii="楷体" w:hAnsi="楷体" w:eastAsia="楷体"/>
          <w:sz w:val="24"/>
          <w:highlight w:val="none"/>
        </w:rPr>
        <w:t>评价工作分为自我评价、评价小组审核、公示上报三个主要步骤进行。</w:t>
      </w:r>
    </w:p>
    <w:p w14:paraId="167F595E">
      <w:pPr>
        <w:spacing w:line="300" w:lineRule="auto"/>
        <w:ind w:firstLine="480" w:firstLineChars="200"/>
        <w:rPr>
          <w:rFonts w:ascii="楷体" w:hAnsi="楷体" w:eastAsia="楷体"/>
          <w:sz w:val="24"/>
          <w:highlight w:val="none"/>
        </w:rPr>
      </w:pPr>
      <w:r>
        <w:rPr>
          <w:rFonts w:hint="eastAsia" w:ascii="楷体" w:hAnsi="楷体" w:eastAsia="楷体"/>
          <w:sz w:val="24"/>
          <w:highlight w:val="none"/>
        </w:rPr>
        <w:t>1.自我评价。研究生对照考核内容，填写《</w:t>
      </w:r>
      <w:r>
        <w:rPr>
          <w:rFonts w:hint="eastAsia" w:ascii="楷体" w:hAnsi="楷体" w:eastAsia="楷体"/>
          <w:sz w:val="24"/>
          <w:highlight w:val="none"/>
          <w:lang w:val="en-US" w:eastAsia="zh-CN"/>
        </w:rPr>
        <w:t>吉首大学</w:t>
      </w:r>
      <w:r>
        <w:rPr>
          <w:rFonts w:hint="eastAsia" w:ascii="楷体" w:hAnsi="楷体" w:eastAsia="楷体"/>
          <w:sz w:val="24"/>
          <w:lang w:val="en-US" w:eastAsia="zh-CN"/>
        </w:rPr>
        <w:t>优秀研究生干部</w:t>
      </w:r>
      <w:r>
        <w:rPr>
          <w:rFonts w:hint="eastAsia" w:ascii="楷体" w:hAnsi="楷体" w:eastAsia="楷体"/>
          <w:sz w:val="24"/>
          <w:highlight w:val="none"/>
          <w:lang w:val="en-US" w:eastAsia="zh-CN"/>
        </w:rPr>
        <w:t>推荐审批表</w:t>
      </w:r>
      <w:r>
        <w:rPr>
          <w:rFonts w:hint="eastAsia" w:ascii="楷体" w:hAnsi="楷体" w:eastAsia="楷体"/>
          <w:sz w:val="24"/>
          <w:highlight w:val="none"/>
        </w:rPr>
        <w:t>》。</w:t>
      </w:r>
    </w:p>
    <w:p w14:paraId="331F9331">
      <w:pPr>
        <w:spacing w:line="300" w:lineRule="auto"/>
        <w:ind w:firstLine="480" w:firstLineChars="200"/>
        <w:rPr>
          <w:rFonts w:hint="default" w:ascii="楷体" w:hAnsi="楷体" w:eastAsia="楷体"/>
          <w:sz w:val="24"/>
          <w:highlight w:val="none"/>
          <w:lang w:val="en-US" w:eastAsia="zh-CN"/>
        </w:rPr>
      </w:pPr>
      <w:r>
        <w:rPr>
          <w:rFonts w:hint="eastAsia" w:ascii="楷体" w:hAnsi="楷体" w:eastAsia="楷体"/>
          <w:sz w:val="24"/>
          <w:highlight w:val="none"/>
        </w:rPr>
        <w:t>2.评价小组核定成绩。评价小组对自评内容进行审核评价，确定具体的评价成绩。</w:t>
      </w:r>
      <w:r>
        <w:rPr>
          <w:rFonts w:hint="eastAsia" w:ascii="楷体" w:hAnsi="楷体" w:eastAsia="楷体"/>
          <w:sz w:val="24"/>
          <w:highlight w:val="none"/>
          <w:lang w:val="en-US" w:eastAsia="zh-CN"/>
        </w:rPr>
        <w:t>并开展民主测评，结合评价成绩和民主测评情况由评价小组综合考虑确定。</w:t>
      </w:r>
      <w:bookmarkStart w:id="0" w:name="_GoBack"/>
      <w:bookmarkEnd w:id="0"/>
    </w:p>
    <w:p w14:paraId="1EA23A7D">
      <w:pPr>
        <w:spacing w:line="300" w:lineRule="auto"/>
        <w:ind w:firstLine="480" w:firstLineChars="200"/>
        <w:rPr>
          <w:rFonts w:ascii="楷体" w:hAnsi="楷体" w:eastAsia="楷体"/>
          <w:w w:val="96"/>
          <w:sz w:val="24"/>
          <w:highlight w:val="none"/>
        </w:rPr>
      </w:pPr>
      <w:r>
        <w:rPr>
          <w:rFonts w:hint="eastAsia" w:ascii="楷体" w:hAnsi="楷体" w:eastAsia="楷体"/>
          <w:sz w:val="24"/>
          <w:highlight w:val="none"/>
        </w:rPr>
        <w:t>3.结果公示上报。学院将评价成绩予以公示</w:t>
      </w:r>
      <w:r>
        <w:rPr>
          <w:rFonts w:ascii="楷体" w:hAnsi="楷体" w:eastAsia="楷体"/>
          <w:sz w:val="24"/>
          <w:highlight w:val="none"/>
        </w:rPr>
        <w:t>5</w:t>
      </w:r>
      <w:r>
        <w:rPr>
          <w:rFonts w:hint="eastAsia" w:ascii="楷体" w:hAnsi="楷体" w:eastAsia="楷体"/>
          <w:sz w:val="24"/>
          <w:highlight w:val="none"/>
          <w:lang w:val="en-US" w:eastAsia="zh-CN"/>
        </w:rPr>
        <w:t>个工作</w:t>
      </w:r>
      <w:r>
        <w:rPr>
          <w:rFonts w:hint="eastAsia" w:ascii="楷体" w:hAnsi="楷体" w:eastAsia="楷体"/>
          <w:sz w:val="24"/>
          <w:highlight w:val="none"/>
        </w:rPr>
        <w:t>日，若学生对测评过程、结果有异议，可在公示期内向学院综合评价工作小组提出复核申请。学院综合评价工作小组应在</w:t>
      </w:r>
      <w:r>
        <w:rPr>
          <w:rFonts w:ascii="楷体" w:hAnsi="楷体" w:eastAsia="楷体"/>
          <w:sz w:val="24"/>
          <w:highlight w:val="none"/>
        </w:rPr>
        <w:t>5</w:t>
      </w:r>
      <w:r>
        <w:rPr>
          <w:rFonts w:hint="eastAsia" w:ascii="楷体" w:hAnsi="楷体" w:eastAsia="楷体"/>
          <w:sz w:val="24"/>
          <w:highlight w:val="none"/>
          <w:lang w:val="en-US" w:eastAsia="zh-CN"/>
        </w:rPr>
        <w:t>个工作</w:t>
      </w:r>
      <w:r>
        <w:rPr>
          <w:rFonts w:hint="eastAsia" w:ascii="楷体" w:hAnsi="楷体" w:eastAsia="楷体"/>
          <w:sz w:val="24"/>
          <w:highlight w:val="none"/>
        </w:rPr>
        <w:t>日内做出复核结论。公示结果无异议后，将评价结果报研究生院备案。</w:t>
      </w:r>
    </w:p>
    <w:p w14:paraId="6B789168">
      <w:pPr>
        <w:spacing w:line="300" w:lineRule="auto"/>
        <w:ind w:firstLine="460" w:firstLineChars="200"/>
        <w:rPr>
          <w:rFonts w:ascii="楷体" w:hAnsi="楷体" w:eastAsia="楷体"/>
          <w:w w:val="96"/>
          <w:sz w:val="24"/>
        </w:rPr>
      </w:pPr>
    </w:p>
    <w:p w14:paraId="370CB310">
      <w:pPr>
        <w:widowControl/>
        <w:spacing w:line="300" w:lineRule="auto"/>
        <w:ind w:firstLine="482" w:firstLineChars="200"/>
        <w:rPr>
          <w:rFonts w:ascii="楷体" w:hAnsi="楷体" w:eastAsia="楷体" w:cs="宋体"/>
          <w:b/>
          <w:bCs/>
          <w:kern w:val="0"/>
          <w:sz w:val="24"/>
        </w:rPr>
      </w:pPr>
      <w:r>
        <w:rPr>
          <w:rFonts w:hint="eastAsia" w:ascii="楷体" w:hAnsi="楷体" w:eastAsia="楷体" w:cs="宋体"/>
          <w:b/>
          <w:bCs/>
          <w:kern w:val="0"/>
          <w:sz w:val="24"/>
        </w:rPr>
        <w:t>三、评价内容</w:t>
      </w:r>
    </w:p>
    <w:p w14:paraId="371F34F8">
      <w:pPr>
        <w:spacing w:line="300" w:lineRule="auto"/>
        <w:ind w:firstLine="480" w:firstLineChars="200"/>
        <w:rPr>
          <w:rFonts w:ascii="楷体" w:hAnsi="楷体" w:eastAsia="楷体"/>
          <w:sz w:val="24"/>
        </w:rPr>
      </w:pPr>
      <w:r>
        <w:rPr>
          <w:rFonts w:hint="eastAsia" w:ascii="楷体" w:hAnsi="楷体" w:eastAsia="楷体"/>
          <w:sz w:val="24"/>
        </w:rPr>
        <w:t>综合评价成绩由德育评价、智育评价和体美劳育评价三个板块构成。其中，德育评价（A）主要由研究生思想品德评价构成；智育评价主要由课程与论文评价（B）和科研与创新素养评价（C）两个部分构成；体美劳育评价（D）主要由文体素养、劳动素养与社会实践评价等部分构成。具体评价内容及权重如下表。</w:t>
      </w:r>
    </w:p>
    <w:p w14:paraId="4A250B2B">
      <w:pPr>
        <w:spacing w:line="300" w:lineRule="auto"/>
        <w:ind w:firstLine="480" w:firstLineChars="200"/>
        <w:jc w:val="center"/>
        <w:rPr>
          <w:rFonts w:ascii="楷体" w:hAnsi="楷体" w:eastAsia="楷体"/>
          <w:sz w:val="24"/>
        </w:rPr>
      </w:pPr>
    </w:p>
    <w:p w14:paraId="03727672">
      <w:pPr>
        <w:spacing w:line="300" w:lineRule="auto"/>
        <w:ind w:firstLine="480" w:firstLineChars="200"/>
        <w:jc w:val="center"/>
        <w:rPr>
          <w:rFonts w:ascii="楷体" w:hAnsi="楷体" w:eastAsia="楷体"/>
          <w:sz w:val="24"/>
        </w:rPr>
      </w:pPr>
      <w:r>
        <w:rPr>
          <w:rFonts w:hint="eastAsia" w:ascii="楷体" w:hAnsi="楷体" w:eastAsia="楷体" w:cs="宋体"/>
          <w:kern w:val="0"/>
          <w:sz w:val="24"/>
        </w:rPr>
        <w:t>表</w:t>
      </w:r>
      <w:r>
        <w:rPr>
          <w:rFonts w:ascii="楷体" w:hAnsi="楷体" w:eastAsia="楷体" w:cs="宋体"/>
          <w:kern w:val="0"/>
          <w:sz w:val="24"/>
        </w:rPr>
        <w:t xml:space="preserve">1 </w:t>
      </w:r>
      <w:r>
        <w:rPr>
          <w:rFonts w:hint="eastAsia" w:ascii="楷体" w:hAnsi="楷体" w:eastAsia="楷体"/>
          <w:sz w:val="24"/>
        </w:rPr>
        <w:t>综合评价内容及权重比例表</w:t>
      </w:r>
    </w:p>
    <w:tbl>
      <w:tblPr>
        <w:tblStyle w:val="12"/>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3"/>
        <w:gridCol w:w="1361"/>
        <w:gridCol w:w="1644"/>
        <w:gridCol w:w="2184"/>
        <w:gridCol w:w="1860"/>
      </w:tblGrid>
      <w:tr w14:paraId="1D530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783" w:type="dxa"/>
            <w:vMerge w:val="restart"/>
            <w:shd w:val="clear" w:color="auto" w:fill="auto"/>
          </w:tcPr>
          <w:p w14:paraId="25C33E43">
            <w:pPr>
              <w:spacing w:line="500" w:lineRule="exact"/>
              <w:jc w:val="right"/>
              <w:rPr>
                <w:rFonts w:ascii="楷体" w:hAnsi="楷体" w:eastAsia="楷体" w:cs="黑体"/>
                <w:sz w:val="24"/>
              </w:rPr>
            </w:pPr>
            <w:r>
              <w:rPr>
                <w:rFonts w:hint="eastAsia" w:ascii="楷体" w:hAnsi="楷体" w:eastAsia="楷体" w:cs="黑体"/>
                <w:sz w:val="24"/>
              </w:rPr>
              <mc:AlternateContent>
                <mc:Choice Requires="wps">
                  <w:drawing>
                    <wp:anchor distT="0" distB="0" distL="114300" distR="114300" simplePos="0" relativeHeight="251659264" behindDoc="0" locked="0" layoutInCell="1" allowOverlap="1">
                      <wp:simplePos x="0" y="0"/>
                      <wp:positionH relativeFrom="column">
                        <wp:posOffset>-72390</wp:posOffset>
                      </wp:positionH>
                      <wp:positionV relativeFrom="paragraph">
                        <wp:posOffset>5715</wp:posOffset>
                      </wp:positionV>
                      <wp:extent cx="1219835" cy="654050"/>
                      <wp:effectExtent l="0" t="0" r="37465" b="31750"/>
                      <wp:wrapNone/>
                      <wp:docPr id="869610668" name="直接连接符 3"/>
                      <wp:cNvGraphicFramePr/>
                      <a:graphic xmlns:a="http://schemas.openxmlformats.org/drawingml/2006/main">
                        <a:graphicData uri="http://schemas.microsoft.com/office/word/2010/wordprocessingShape">
                          <wps:wsp>
                            <wps:cNvCnPr/>
                            <wps:spPr>
                              <a:xfrm>
                                <a:off x="0" y="0"/>
                                <a:ext cx="1219835" cy="654050"/>
                              </a:xfrm>
                              <a:prstGeom prst="line">
                                <a:avLst/>
                              </a:prstGeom>
                              <a:noFill/>
                              <a:ln w="9525" cap="flat" cmpd="sng" algn="ctr">
                                <a:solidFill>
                                  <a:srgbClr val="000000">
                                    <a:shade val="95000"/>
                                    <a:satMod val="105000"/>
                                  </a:srgbClr>
                                </a:solidFill>
                                <a:prstDash val="solid"/>
                              </a:ln>
                            </wps:spPr>
                            <wps:bodyPr/>
                          </wps:wsp>
                        </a:graphicData>
                      </a:graphic>
                    </wp:anchor>
                  </w:drawing>
                </mc:Choice>
                <mc:Fallback>
                  <w:pict>
                    <v:line id="直接连接符 3" o:spid="_x0000_s1026" o:spt="20" style="position:absolute;left:0pt;margin-left:-5.7pt;margin-top:0.45pt;height:51.5pt;width:96.05pt;z-index:251659264;mso-width-relative:page;mso-height-relative:page;" filled="f" stroked="t" coordsize="21600,21600" o:gfxdata="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Dw5FMXXAAAACAEAAA8AAAAAAAAAAQAgAAAAIgAAAGRycy9kb3ducmV2&#10;LnhtbFBLAQIUABQAAAAIAIdO4kD72ULi/QEAAOADAAAOAAAAAAAAAAEAIAAAACYBAABkcnMvZTJv&#10;RG9jLnhtbFBLBQYAAAAABgAGAFkBAACVBQAAAAA=&#10;">
                      <v:fill on="f" focussize="0,0"/>
                      <v:stroke color="#000000" joinstyle="round"/>
                      <v:imagedata o:title=""/>
                      <o:lock v:ext="edit" aspectratio="f"/>
                    </v:line>
                  </w:pict>
                </mc:Fallback>
              </mc:AlternateContent>
            </w:r>
            <w:r>
              <w:rPr>
                <w:rFonts w:hint="eastAsia" w:ascii="楷体" w:hAnsi="楷体" w:eastAsia="楷体" w:cs="黑体"/>
                <w:sz w:val="24"/>
              </w:rPr>
              <w:t xml:space="preserve"> 评价板块</w:t>
            </w:r>
          </w:p>
          <w:p w14:paraId="3CB502B5">
            <w:pPr>
              <w:spacing w:line="500" w:lineRule="exact"/>
              <w:rPr>
                <w:rFonts w:ascii="楷体" w:hAnsi="楷体" w:eastAsia="楷体" w:cs="黑体"/>
                <w:sz w:val="24"/>
              </w:rPr>
            </w:pPr>
            <w:r>
              <w:rPr>
                <w:rFonts w:hint="eastAsia" w:ascii="楷体" w:hAnsi="楷体" w:eastAsia="楷体" w:cs="黑体"/>
                <w:sz w:val="24"/>
              </w:rPr>
              <w:t>年级</w:t>
            </w:r>
          </w:p>
        </w:tc>
        <w:tc>
          <w:tcPr>
            <w:tcW w:w="1361" w:type="dxa"/>
            <w:vMerge w:val="restart"/>
            <w:shd w:val="clear" w:color="auto" w:fill="auto"/>
            <w:vAlign w:val="center"/>
          </w:tcPr>
          <w:p w14:paraId="22CCEDF6">
            <w:pPr>
              <w:jc w:val="center"/>
              <w:rPr>
                <w:rFonts w:ascii="楷体" w:hAnsi="楷体" w:eastAsia="楷体" w:cs="黑体"/>
                <w:kern w:val="0"/>
                <w:sz w:val="24"/>
              </w:rPr>
            </w:pPr>
            <w:r>
              <w:rPr>
                <w:rFonts w:hint="eastAsia" w:ascii="楷体" w:hAnsi="楷体" w:eastAsia="楷体" w:cs="黑体"/>
                <w:kern w:val="0"/>
                <w:sz w:val="24"/>
              </w:rPr>
              <w:t>德育评价A</w:t>
            </w:r>
          </w:p>
        </w:tc>
        <w:tc>
          <w:tcPr>
            <w:tcW w:w="3828" w:type="dxa"/>
            <w:gridSpan w:val="2"/>
            <w:shd w:val="clear" w:color="auto" w:fill="auto"/>
            <w:vAlign w:val="center"/>
          </w:tcPr>
          <w:p w14:paraId="30992EA7">
            <w:pPr>
              <w:jc w:val="center"/>
              <w:rPr>
                <w:rFonts w:ascii="楷体" w:hAnsi="楷体" w:eastAsia="楷体" w:cs="黑体"/>
                <w:kern w:val="0"/>
                <w:sz w:val="24"/>
              </w:rPr>
            </w:pPr>
            <w:r>
              <w:rPr>
                <w:rFonts w:hint="eastAsia" w:ascii="楷体" w:hAnsi="楷体" w:eastAsia="楷体" w:cs="黑体"/>
                <w:kern w:val="0"/>
                <w:sz w:val="24"/>
              </w:rPr>
              <w:t>智育评价</w:t>
            </w:r>
          </w:p>
        </w:tc>
        <w:tc>
          <w:tcPr>
            <w:tcW w:w="1860" w:type="dxa"/>
            <w:vMerge w:val="restart"/>
            <w:shd w:val="clear" w:color="auto" w:fill="auto"/>
            <w:vAlign w:val="center"/>
          </w:tcPr>
          <w:p w14:paraId="1EA2FFD7">
            <w:pPr>
              <w:spacing w:line="580" w:lineRule="exact"/>
              <w:jc w:val="center"/>
              <w:rPr>
                <w:rFonts w:ascii="楷体" w:hAnsi="楷体" w:eastAsia="楷体" w:cs="黑体"/>
                <w:sz w:val="24"/>
              </w:rPr>
            </w:pPr>
            <w:r>
              <w:rPr>
                <w:rFonts w:hint="eastAsia" w:ascii="楷体" w:hAnsi="楷体" w:eastAsia="楷体" w:cs="黑体"/>
                <w:kern w:val="0"/>
                <w:sz w:val="24"/>
              </w:rPr>
              <w:t>体美劳育评价D</w:t>
            </w:r>
          </w:p>
        </w:tc>
      </w:tr>
      <w:tr w14:paraId="11303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783" w:type="dxa"/>
            <w:vMerge w:val="continue"/>
            <w:shd w:val="clear" w:color="auto" w:fill="auto"/>
          </w:tcPr>
          <w:p w14:paraId="46302314">
            <w:pPr>
              <w:spacing w:line="580" w:lineRule="exact"/>
              <w:jc w:val="center"/>
              <w:rPr>
                <w:rFonts w:ascii="楷体" w:hAnsi="楷体" w:eastAsia="楷体"/>
                <w:sz w:val="24"/>
              </w:rPr>
            </w:pPr>
          </w:p>
        </w:tc>
        <w:tc>
          <w:tcPr>
            <w:tcW w:w="1361" w:type="dxa"/>
            <w:vMerge w:val="continue"/>
            <w:shd w:val="clear" w:color="auto" w:fill="auto"/>
          </w:tcPr>
          <w:p w14:paraId="3EBF5E5A">
            <w:pPr>
              <w:jc w:val="center"/>
              <w:rPr>
                <w:rFonts w:ascii="楷体" w:hAnsi="楷体" w:eastAsia="楷体" w:cs="宋体"/>
                <w:kern w:val="0"/>
                <w:sz w:val="24"/>
              </w:rPr>
            </w:pPr>
          </w:p>
        </w:tc>
        <w:tc>
          <w:tcPr>
            <w:tcW w:w="1644" w:type="dxa"/>
            <w:shd w:val="clear" w:color="auto" w:fill="auto"/>
            <w:vAlign w:val="center"/>
          </w:tcPr>
          <w:p w14:paraId="05BD97EE">
            <w:pPr>
              <w:jc w:val="center"/>
              <w:rPr>
                <w:rFonts w:ascii="楷体" w:hAnsi="楷体" w:eastAsia="楷体" w:cs="黑体"/>
                <w:kern w:val="0"/>
                <w:sz w:val="24"/>
              </w:rPr>
            </w:pPr>
            <w:r>
              <w:rPr>
                <w:rFonts w:hint="eastAsia" w:ascii="楷体" w:hAnsi="楷体" w:eastAsia="楷体" w:cs="黑体"/>
                <w:kern w:val="0"/>
                <w:sz w:val="24"/>
              </w:rPr>
              <w:t>课程与论文B</w:t>
            </w:r>
          </w:p>
        </w:tc>
        <w:tc>
          <w:tcPr>
            <w:tcW w:w="2184" w:type="dxa"/>
            <w:shd w:val="clear" w:color="auto" w:fill="auto"/>
            <w:vAlign w:val="center"/>
          </w:tcPr>
          <w:p w14:paraId="565105D0">
            <w:pPr>
              <w:jc w:val="center"/>
              <w:rPr>
                <w:rFonts w:ascii="楷体" w:hAnsi="楷体" w:eastAsia="楷体" w:cs="黑体"/>
                <w:kern w:val="0"/>
                <w:sz w:val="24"/>
              </w:rPr>
            </w:pPr>
            <w:r>
              <w:rPr>
                <w:rFonts w:hint="eastAsia" w:ascii="楷体" w:hAnsi="楷体" w:eastAsia="楷体" w:cs="黑体"/>
                <w:kern w:val="0"/>
                <w:sz w:val="24"/>
              </w:rPr>
              <w:t>科研与创新素养C</w:t>
            </w:r>
          </w:p>
        </w:tc>
        <w:tc>
          <w:tcPr>
            <w:tcW w:w="1860" w:type="dxa"/>
            <w:vMerge w:val="continue"/>
            <w:shd w:val="clear" w:color="auto" w:fill="auto"/>
          </w:tcPr>
          <w:p w14:paraId="47B9EA98">
            <w:pPr>
              <w:spacing w:line="580" w:lineRule="exact"/>
              <w:jc w:val="center"/>
              <w:rPr>
                <w:rFonts w:ascii="楷体" w:hAnsi="楷体" w:eastAsia="楷体"/>
                <w:sz w:val="24"/>
              </w:rPr>
            </w:pPr>
          </w:p>
        </w:tc>
      </w:tr>
      <w:tr w14:paraId="61696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3" w:type="dxa"/>
            <w:shd w:val="clear" w:color="auto" w:fill="auto"/>
            <w:vAlign w:val="center"/>
          </w:tcPr>
          <w:p w14:paraId="24BBE8FE">
            <w:pPr>
              <w:spacing w:line="360" w:lineRule="auto"/>
              <w:jc w:val="center"/>
              <w:rPr>
                <w:rFonts w:ascii="楷体" w:hAnsi="楷体" w:eastAsia="楷体" w:cs="宋体"/>
                <w:kern w:val="0"/>
                <w:sz w:val="24"/>
              </w:rPr>
            </w:pPr>
            <w:r>
              <w:rPr>
                <w:rFonts w:hint="eastAsia" w:ascii="楷体" w:hAnsi="楷体" w:eastAsia="楷体" w:cs="宋体"/>
                <w:kern w:val="0"/>
                <w:sz w:val="24"/>
              </w:rPr>
              <w:t>一年级</w:t>
            </w:r>
          </w:p>
        </w:tc>
        <w:tc>
          <w:tcPr>
            <w:tcW w:w="1361" w:type="dxa"/>
            <w:shd w:val="clear" w:color="auto" w:fill="auto"/>
            <w:vAlign w:val="center"/>
          </w:tcPr>
          <w:p w14:paraId="4D7A6AF0">
            <w:pPr>
              <w:spacing w:line="360" w:lineRule="auto"/>
              <w:jc w:val="center"/>
              <w:rPr>
                <w:rFonts w:ascii="楷体" w:hAnsi="楷体" w:eastAsia="楷体" w:cs="宋体"/>
                <w:kern w:val="0"/>
                <w:sz w:val="24"/>
              </w:rPr>
            </w:pPr>
            <w:r>
              <w:rPr>
                <w:rFonts w:hint="eastAsia" w:ascii="楷体" w:hAnsi="楷体" w:eastAsia="楷体" w:cs="宋体"/>
                <w:kern w:val="0"/>
                <w:sz w:val="24"/>
              </w:rPr>
              <w:t>15%</w:t>
            </w:r>
          </w:p>
        </w:tc>
        <w:tc>
          <w:tcPr>
            <w:tcW w:w="1644" w:type="dxa"/>
            <w:shd w:val="clear" w:color="auto" w:fill="auto"/>
            <w:vAlign w:val="center"/>
          </w:tcPr>
          <w:p w14:paraId="35324FF8">
            <w:pPr>
              <w:spacing w:line="360" w:lineRule="auto"/>
              <w:jc w:val="center"/>
              <w:rPr>
                <w:rFonts w:ascii="楷体" w:hAnsi="楷体" w:eastAsia="楷体" w:cs="宋体"/>
                <w:kern w:val="0"/>
                <w:sz w:val="24"/>
              </w:rPr>
            </w:pPr>
            <w:r>
              <w:rPr>
                <w:rFonts w:hint="eastAsia" w:ascii="楷体" w:hAnsi="楷体" w:eastAsia="楷体" w:cs="宋体"/>
                <w:kern w:val="0"/>
                <w:sz w:val="24"/>
              </w:rPr>
              <w:t>70%</w:t>
            </w:r>
          </w:p>
        </w:tc>
        <w:tc>
          <w:tcPr>
            <w:tcW w:w="2184" w:type="dxa"/>
            <w:shd w:val="clear" w:color="auto" w:fill="auto"/>
            <w:vAlign w:val="center"/>
          </w:tcPr>
          <w:p w14:paraId="13C266F1">
            <w:pPr>
              <w:spacing w:line="360" w:lineRule="auto"/>
              <w:jc w:val="center"/>
              <w:rPr>
                <w:rFonts w:ascii="楷体" w:hAnsi="楷体" w:eastAsia="楷体" w:cs="宋体"/>
                <w:b/>
                <w:bCs/>
                <w:kern w:val="0"/>
                <w:sz w:val="24"/>
              </w:rPr>
            </w:pPr>
            <w:r>
              <w:rPr>
                <w:rFonts w:hint="eastAsia" w:ascii="楷体" w:hAnsi="楷体" w:eastAsia="楷体" w:cs="宋体"/>
                <w:kern w:val="0"/>
                <w:sz w:val="24"/>
              </w:rPr>
              <w:t>5%</w:t>
            </w:r>
          </w:p>
        </w:tc>
        <w:tc>
          <w:tcPr>
            <w:tcW w:w="1860" w:type="dxa"/>
            <w:shd w:val="clear" w:color="auto" w:fill="auto"/>
            <w:vAlign w:val="center"/>
          </w:tcPr>
          <w:p w14:paraId="31FA3E3A">
            <w:pPr>
              <w:spacing w:line="360" w:lineRule="auto"/>
              <w:jc w:val="center"/>
              <w:rPr>
                <w:rFonts w:ascii="楷体" w:hAnsi="楷体" w:eastAsia="楷体" w:cs="宋体"/>
                <w:b/>
                <w:bCs/>
                <w:kern w:val="0"/>
                <w:sz w:val="24"/>
              </w:rPr>
            </w:pPr>
            <w:r>
              <w:rPr>
                <w:rFonts w:hint="eastAsia" w:ascii="楷体" w:hAnsi="楷体" w:eastAsia="楷体" w:cs="宋体"/>
                <w:kern w:val="0"/>
                <w:sz w:val="24"/>
              </w:rPr>
              <w:t>10%</w:t>
            </w:r>
          </w:p>
        </w:tc>
      </w:tr>
      <w:tr w14:paraId="40FFC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3" w:type="dxa"/>
            <w:shd w:val="clear" w:color="auto" w:fill="auto"/>
            <w:vAlign w:val="center"/>
          </w:tcPr>
          <w:p w14:paraId="3FAD58F4">
            <w:pPr>
              <w:spacing w:line="360" w:lineRule="auto"/>
              <w:jc w:val="center"/>
              <w:rPr>
                <w:rFonts w:ascii="楷体" w:hAnsi="楷体" w:eastAsia="楷体" w:cs="宋体"/>
                <w:kern w:val="0"/>
                <w:sz w:val="24"/>
              </w:rPr>
            </w:pPr>
            <w:r>
              <w:rPr>
                <w:rFonts w:hint="eastAsia" w:ascii="楷体" w:hAnsi="楷体" w:eastAsia="楷体" w:cs="宋体"/>
                <w:kern w:val="0"/>
                <w:sz w:val="24"/>
              </w:rPr>
              <w:t>二年级</w:t>
            </w:r>
          </w:p>
        </w:tc>
        <w:tc>
          <w:tcPr>
            <w:tcW w:w="1361" w:type="dxa"/>
            <w:shd w:val="clear" w:color="auto" w:fill="auto"/>
            <w:vAlign w:val="center"/>
          </w:tcPr>
          <w:p w14:paraId="2AF6B2A2">
            <w:pPr>
              <w:spacing w:line="360" w:lineRule="auto"/>
              <w:jc w:val="center"/>
              <w:rPr>
                <w:rFonts w:ascii="楷体" w:hAnsi="楷体" w:eastAsia="楷体" w:cs="宋体"/>
                <w:kern w:val="0"/>
                <w:sz w:val="24"/>
              </w:rPr>
            </w:pPr>
            <w:r>
              <w:rPr>
                <w:rFonts w:hint="eastAsia" w:ascii="楷体" w:hAnsi="楷体" w:eastAsia="楷体" w:cs="宋体"/>
                <w:kern w:val="0"/>
                <w:sz w:val="24"/>
              </w:rPr>
              <w:t>15%</w:t>
            </w:r>
          </w:p>
        </w:tc>
        <w:tc>
          <w:tcPr>
            <w:tcW w:w="1644" w:type="dxa"/>
            <w:shd w:val="clear" w:color="auto" w:fill="auto"/>
            <w:vAlign w:val="center"/>
          </w:tcPr>
          <w:p w14:paraId="39CB5B14">
            <w:pPr>
              <w:spacing w:line="360" w:lineRule="auto"/>
              <w:jc w:val="center"/>
              <w:rPr>
                <w:rFonts w:ascii="楷体" w:hAnsi="楷体" w:eastAsia="楷体" w:cs="宋体"/>
                <w:kern w:val="0"/>
                <w:sz w:val="24"/>
              </w:rPr>
            </w:pPr>
            <w:r>
              <w:rPr>
                <w:rFonts w:hint="eastAsia" w:ascii="楷体" w:hAnsi="楷体" w:eastAsia="楷体" w:cs="宋体"/>
                <w:kern w:val="0"/>
                <w:sz w:val="24"/>
              </w:rPr>
              <w:t>45%</w:t>
            </w:r>
          </w:p>
        </w:tc>
        <w:tc>
          <w:tcPr>
            <w:tcW w:w="2184" w:type="dxa"/>
            <w:shd w:val="clear" w:color="auto" w:fill="auto"/>
            <w:vAlign w:val="center"/>
          </w:tcPr>
          <w:p w14:paraId="75815D92">
            <w:pPr>
              <w:spacing w:line="360" w:lineRule="auto"/>
              <w:jc w:val="center"/>
              <w:rPr>
                <w:rFonts w:ascii="楷体" w:hAnsi="楷体" w:eastAsia="楷体" w:cs="宋体"/>
                <w:kern w:val="0"/>
                <w:sz w:val="24"/>
              </w:rPr>
            </w:pPr>
            <w:r>
              <w:rPr>
                <w:rFonts w:hint="eastAsia" w:ascii="楷体" w:hAnsi="楷体" w:eastAsia="楷体" w:cs="宋体"/>
                <w:kern w:val="0"/>
                <w:sz w:val="24"/>
              </w:rPr>
              <w:t>30%</w:t>
            </w:r>
          </w:p>
        </w:tc>
        <w:tc>
          <w:tcPr>
            <w:tcW w:w="1860" w:type="dxa"/>
            <w:shd w:val="clear" w:color="auto" w:fill="auto"/>
            <w:vAlign w:val="center"/>
          </w:tcPr>
          <w:p w14:paraId="0D5B5D15">
            <w:pPr>
              <w:spacing w:line="360" w:lineRule="auto"/>
              <w:jc w:val="center"/>
              <w:rPr>
                <w:rFonts w:ascii="楷体" w:hAnsi="楷体" w:eastAsia="楷体" w:cs="宋体"/>
                <w:kern w:val="0"/>
                <w:sz w:val="24"/>
              </w:rPr>
            </w:pPr>
            <w:r>
              <w:rPr>
                <w:rFonts w:hint="eastAsia" w:ascii="楷体" w:hAnsi="楷体" w:eastAsia="楷体" w:cs="宋体"/>
                <w:kern w:val="0"/>
                <w:sz w:val="24"/>
              </w:rPr>
              <w:t>10%</w:t>
            </w:r>
          </w:p>
        </w:tc>
      </w:tr>
      <w:tr w14:paraId="760E5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3" w:type="dxa"/>
            <w:shd w:val="clear" w:color="auto" w:fill="auto"/>
            <w:vAlign w:val="center"/>
          </w:tcPr>
          <w:p w14:paraId="62D0073E">
            <w:pPr>
              <w:jc w:val="center"/>
              <w:rPr>
                <w:rFonts w:ascii="楷体" w:hAnsi="楷体" w:eastAsia="楷体" w:cs="宋体"/>
                <w:kern w:val="0"/>
                <w:sz w:val="24"/>
              </w:rPr>
            </w:pPr>
            <w:r>
              <w:rPr>
                <w:rFonts w:hint="eastAsia" w:ascii="楷体" w:hAnsi="楷体" w:eastAsia="楷体" w:cs="宋体"/>
                <w:kern w:val="0"/>
                <w:sz w:val="24"/>
              </w:rPr>
              <w:t>三年级</w:t>
            </w:r>
          </w:p>
          <w:p w14:paraId="17AED145">
            <w:pPr>
              <w:ind w:left="17" w:leftChars="-95" w:right="-231" w:rightChars="-110" w:hanging="216" w:hangingChars="90"/>
              <w:jc w:val="center"/>
              <w:rPr>
                <w:rFonts w:ascii="楷体" w:hAnsi="楷体" w:eastAsia="楷体" w:cs="宋体"/>
                <w:kern w:val="0"/>
                <w:sz w:val="24"/>
              </w:rPr>
            </w:pPr>
            <w:r>
              <w:rPr>
                <w:rFonts w:hint="eastAsia" w:ascii="楷体" w:hAnsi="楷体" w:eastAsia="楷体" w:cs="宋体"/>
                <w:kern w:val="0"/>
                <w:sz w:val="24"/>
              </w:rPr>
              <w:t>（延期毕业除外）</w:t>
            </w:r>
          </w:p>
        </w:tc>
        <w:tc>
          <w:tcPr>
            <w:tcW w:w="1361" w:type="dxa"/>
            <w:shd w:val="clear" w:color="auto" w:fill="auto"/>
            <w:vAlign w:val="center"/>
          </w:tcPr>
          <w:p w14:paraId="0F4CAF61">
            <w:pPr>
              <w:spacing w:line="360" w:lineRule="auto"/>
              <w:jc w:val="center"/>
              <w:rPr>
                <w:rFonts w:ascii="楷体" w:hAnsi="楷体" w:eastAsia="楷体" w:cs="宋体"/>
                <w:kern w:val="0"/>
                <w:sz w:val="24"/>
              </w:rPr>
            </w:pPr>
            <w:r>
              <w:rPr>
                <w:rFonts w:hint="eastAsia" w:ascii="楷体" w:hAnsi="楷体" w:eastAsia="楷体" w:cs="宋体"/>
                <w:kern w:val="0"/>
                <w:sz w:val="24"/>
              </w:rPr>
              <w:t>15%</w:t>
            </w:r>
          </w:p>
        </w:tc>
        <w:tc>
          <w:tcPr>
            <w:tcW w:w="1644" w:type="dxa"/>
            <w:shd w:val="clear" w:color="auto" w:fill="auto"/>
            <w:vAlign w:val="center"/>
          </w:tcPr>
          <w:p w14:paraId="1589D7FE">
            <w:pPr>
              <w:spacing w:line="360" w:lineRule="auto"/>
              <w:jc w:val="center"/>
              <w:rPr>
                <w:rFonts w:ascii="楷体" w:hAnsi="楷体" w:eastAsia="楷体" w:cs="宋体"/>
                <w:kern w:val="0"/>
                <w:sz w:val="24"/>
              </w:rPr>
            </w:pPr>
            <w:r>
              <w:rPr>
                <w:rFonts w:hint="eastAsia" w:ascii="楷体" w:hAnsi="楷体" w:eastAsia="楷体" w:cs="宋体"/>
                <w:kern w:val="0"/>
                <w:sz w:val="24"/>
              </w:rPr>
              <w:t>15%</w:t>
            </w:r>
          </w:p>
        </w:tc>
        <w:tc>
          <w:tcPr>
            <w:tcW w:w="2184" w:type="dxa"/>
            <w:shd w:val="clear" w:color="auto" w:fill="auto"/>
            <w:vAlign w:val="center"/>
          </w:tcPr>
          <w:p w14:paraId="321AC5A8">
            <w:pPr>
              <w:spacing w:line="360" w:lineRule="auto"/>
              <w:jc w:val="center"/>
              <w:rPr>
                <w:rFonts w:ascii="楷体" w:hAnsi="楷体" w:eastAsia="楷体" w:cs="宋体"/>
                <w:kern w:val="0"/>
                <w:sz w:val="24"/>
              </w:rPr>
            </w:pPr>
            <w:r>
              <w:rPr>
                <w:rFonts w:hint="eastAsia" w:ascii="楷体" w:hAnsi="楷体" w:eastAsia="楷体" w:cs="宋体"/>
                <w:kern w:val="0"/>
                <w:sz w:val="24"/>
              </w:rPr>
              <w:t>60%</w:t>
            </w:r>
          </w:p>
        </w:tc>
        <w:tc>
          <w:tcPr>
            <w:tcW w:w="1860" w:type="dxa"/>
            <w:shd w:val="clear" w:color="auto" w:fill="auto"/>
            <w:vAlign w:val="center"/>
          </w:tcPr>
          <w:p w14:paraId="6BFA2300">
            <w:pPr>
              <w:spacing w:line="360" w:lineRule="auto"/>
              <w:jc w:val="center"/>
              <w:rPr>
                <w:rFonts w:ascii="楷体" w:hAnsi="楷体" w:eastAsia="楷体" w:cs="宋体"/>
                <w:kern w:val="0"/>
                <w:sz w:val="24"/>
              </w:rPr>
            </w:pPr>
            <w:r>
              <w:rPr>
                <w:rFonts w:hint="eastAsia" w:ascii="楷体" w:hAnsi="楷体" w:eastAsia="楷体" w:cs="宋体"/>
                <w:kern w:val="0"/>
                <w:sz w:val="24"/>
              </w:rPr>
              <w:t>10%</w:t>
            </w:r>
          </w:p>
        </w:tc>
      </w:tr>
    </w:tbl>
    <w:p w14:paraId="12A9B2A2">
      <w:pPr>
        <w:spacing w:line="300" w:lineRule="auto"/>
        <w:ind w:firstLine="480" w:firstLineChars="200"/>
        <w:rPr>
          <w:rFonts w:ascii="楷体" w:hAnsi="楷体" w:eastAsia="楷体"/>
          <w:sz w:val="24"/>
        </w:rPr>
      </w:pPr>
      <w:r>
        <w:rPr>
          <w:rFonts w:hint="eastAsia" w:ascii="楷体" w:hAnsi="楷体" w:eastAsia="楷体"/>
          <w:sz w:val="24"/>
        </w:rPr>
        <w:t>综合评价总成绩计算公式为：</w:t>
      </w:r>
    </w:p>
    <w:p w14:paraId="29C8B40F">
      <w:pPr>
        <w:spacing w:line="300" w:lineRule="auto"/>
        <w:ind w:firstLine="480" w:firstLineChars="200"/>
        <w:rPr>
          <w:rFonts w:ascii="楷体" w:hAnsi="楷体" w:eastAsia="楷体"/>
          <w:sz w:val="24"/>
        </w:rPr>
      </w:pPr>
      <w:r>
        <w:rPr>
          <w:rFonts w:hint="eastAsia" w:ascii="楷体" w:hAnsi="楷体" w:eastAsia="楷体"/>
          <w:sz w:val="24"/>
        </w:rPr>
        <w:t>综合评价总成绩（S）＝德育评价成绩（A）+智育评价成绩（B+C）+体美劳育评价成绩（D），满分为100分，保留至小数点后两位。</w:t>
      </w:r>
    </w:p>
    <w:p w14:paraId="333CF97C">
      <w:pPr>
        <w:spacing w:line="300" w:lineRule="auto"/>
        <w:ind w:firstLine="480" w:firstLineChars="200"/>
        <w:rPr>
          <w:rFonts w:ascii="楷体" w:hAnsi="楷体" w:eastAsia="楷体"/>
          <w:sz w:val="24"/>
        </w:rPr>
      </w:pPr>
    </w:p>
    <w:p w14:paraId="64A8B358">
      <w:pPr>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（一）德育评价（A）</w:t>
      </w:r>
    </w:p>
    <w:p w14:paraId="44FF93B0">
      <w:pPr>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德育评价主要评价学生的思想品德综合水平，其观测点主要包括政治素养、集体观念、遵纪守法、学术道德和社会公德等内容。思想品德评价由基础分和加减分组成，满分为100分。</w:t>
      </w:r>
    </w:p>
    <w:p w14:paraId="75B3D3DF">
      <w:pPr>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1.德育评价基础分评分（A1）</w:t>
      </w:r>
    </w:p>
    <w:p w14:paraId="271ACDC0">
      <w:pPr>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考核小组采用无记名方式对评价对象进行考核评分。计算时去掉最高分和最低分，取平均分作为其基础分。德育评价基础分评价指标、评价等级如下表所示：</w:t>
      </w:r>
    </w:p>
    <w:p w14:paraId="6572D3B4">
      <w:pPr>
        <w:widowControl/>
        <w:spacing w:line="300" w:lineRule="auto"/>
        <w:jc w:val="center"/>
        <w:rPr>
          <w:rFonts w:ascii="楷体" w:hAnsi="楷体" w:eastAsia="楷体" w:cs="宋体"/>
          <w:b/>
          <w:kern w:val="0"/>
          <w:sz w:val="24"/>
        </w:rPr>
      </w:pPr>
      <w:r>
        <w:rPr>
          <w:rFonts w:hint="eastAsia" w:ascii="楷体" w:hAnsi="楷体" w:eastAsia="楷体" w:cs="宋体"/>
          <w:b/>
          <w:kern w:val="0"/>
          <w:sz w:val="24"/>
        </w:rPr>
        <w:t>表2</w:t>
      </w:r>
      <w:r>
        <w:rPr>
          <w:rFonts w:ascii="楷体" w:hAnsi="楷体" w:eastAsia="楷体" w:cs="宋体"/>
          <w:b/>
          <w:kern w:val="0"/>
          <w:sz w:val="24"/>
        </w:rPr>
        <w:t xml:space="preserve"> </w:t>
      </w:r>
      <w:r>
        <w:rPr>
          <w:rFonts w:hint="eastAsia" w:ascii="楷体" w:hAnsi="楷体" w:eastAsia="楷体" w:cs="宋体"/>
          <w:b/>
          <w:kern w:val="0"/>
          <w:sz w:val="24"/>
        </w:rPr>
        <w:t>德育评价指标及等级一览表</w:t>
      </w:r>
    </w:p>
    <w:tbl>
      <w:tblPr>
        <w:tblStyle w:val="12"/>
        <w:tblW w:w="8565" w:type="dxa"/>
        <w:tblInd w:w="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5"/>
        <w:gridCol w:w="4245"/>
        <w:gridCol w:w="870"/>
        <w:gridCol w:w="870"/>
        <w:gridCol w:w="1005"/>
      </w:tblGrid>
      <w:tr w14:paraId="1F7DD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5820" w:type="dxa"/>
            <w:gridSpan w:val="2"/>
            <w:vAlign w:val="center"/>
          </w:tcPr>
          <w:p w14:paraId="378810A7">
            <w:pPr>
              <w:jc w:val="center"/>
              <w:rPr>
                <w:rFonts w:ascii="楷体" w:hAnsi="楷体" w:eastAsia="楷体" w:cs="黑体"/>
                <w:b/>
                <w:bCs/>
                <w:sz w:val="24"/>
              </w:rPr>
            </w:pPr>
            <w:r>
              <w:rPr>
                <w:rFonts w:hint="eastAsia" w:ascii="楷体" w:hAnsi="楷体" w:eastAsia="楷体" w:cs="黑体"/>
                <w:b/>
                <w:bCs/>
                <w:sz w:val="24"/>
              </w:rPr>
              <w:t>评价基本内容</w:t>
            </w:r>
          </w:p>
        </w:tc>
        <w:tc>
          <w:tcPr>
            <w:tcW w:w="870" w:type="dxa"/>
            <w:vAlign w:val="center"/>
          </w:tcPr>
          <w:p w14:paraId="3F3B7706">
            <w:pPr>
              <w:jc w:val="center"/>
              <w:rPr>
                <w:rFonts w:ascii="楷体" w:hAnsi="楷体" w:eastAsia="楷体" w:cs="黑体"/>
                <w:b/>
                <w:bCs/>
                <w:sz w:val="24"/>
              </w:rPr>
            </w:pPr>
            <w:r>
              <w:rPr>
                <w:rFonts w:hint="eastAsia" w:ascii="楷体" w:hAnsi="楷体" w:eastAsia="楷体" w:cs="黑体"/>
                <w:b/>
                <w:bCs/>
                <w:sz w:val="24"/>
              </w:rPr>
              <w:t>优</w:t>
            </w:r>
          </w:p>
        </w:tc>
        <w:tc>
          <w:tcPr>
            <w:tcW w:w="870" w:type="dxa"/>
            <w:vAlign w:val="center"/>
          </w:tcPr>
          <w:p w14:paraId="05A2B267">
            <w:pPr>
              <w:jc w:val="center"/>
              <w:rPr>
                <w:rFonts w:ascii="楷体" w:hAnsi="楷体" w:eastAsia="楷体" w:cs="黑体"/>
                <w:b/>
                <w:bCs/>
                <w:sz w:val="24"/>
              </w:rPr>
            </w:pPr>
            <w:r>
              <w:rPr>
                <w:rFonts w:hint="eastAsia" w:ascii="楷体" w:hAnsi="楷体" w:eastAsia="楷体" w:cs="黑体"/>
                <w:b/>
                <w:bCs/>
                <w:sz w:val="24"/>
              </w:rPr>
              <w:t>中</w:t>
            </w:r>
          </w:p>
        </w:tc>
        <w:tc>
          <w:tcPr>
            <w:tcW w:w="1005" w:type="dxa"/>
            <w:vAlign w:val="center"/>
          </w:tcPr>
          <w:p w14:paraId="7A263CD2">
            <w:pPr>
              <w:jc w:val="center"/>
              <w:rPr>
                <w:rFonts w:ascii="楷体" w:hAnsi="楷体" w:eastAsia="楷体" w:cs="黑体"/>
                <w:b/>
                <w:bCs/>
                <w:sz w:val="24"/>
              </w:rPr>
            </w:pPr>
            <w:r>
              <w:rPr>
                <w:rFonts w:hint="eastAsia" w:ascii="楷体" w:hAnsi="楷体" w:eastAsia="楷体" w:cs="黑体"/>
                <w:b/>
                <w:bCs/>
                <w:sz w:val="24"/>
              </w:rPr>
              <w:t>差</w:t>
            </w:r>
          </w:p>
        </w:tc>
      </w:tr>
      <w:tr w14:paraId="6A36F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7" w:hRule="atLeast"/>
        </w:trPr>
        <w:tc>
          <w:tcPr>
            <w:tcW w:w="1575" w:type="dxa"/>
            <w:vAlign w:val="center"/>
          </w:tcPr>
          <w:p w14:paraId="0159BBF4">
            <w:pPr>
              <w:spacing w:line="620" w:lineRule="exact"/>
              <w:ind w:left="-105" w:leftChars="-50" w:right="-105" w:rightChars="-50" w:firstLine="77" w:firstLineChars="32"/>
              <w:jc w:val="center"/>
              <w:rPr>
                <w:rFonts w:ascii="楷体" w:hAnsi="楷体" w:eastAsia="楷体"/>
                <w:sz w:val="24"/>
              </w:rPr>
            </w:pPr>
            <w:r>
              <w:rPr>
                <w:rFonts w:hint="eastAsia" w:ascii="楷体" w:hAnsi="楷体" w:eastAsia="楷体"/>
                <w:b/>
                <w:bCs/>
                <w:sz w:val="24"/>
              </w:rPr>
              <w:t>政治素养</w:t>
            </w:r>
          </w:p>
        </w:tc>
        <w:tc>
          <w:tcPr>
            <w:tcW w:w="4245" w:type="dxa"/>
            <w:vAlign w:val="center"/>
          </w:tcPr>
          <w:p w14:paraId="5220F87C">
            <w:pPr>
              <w:rPr>
                <w:rFonts w:ascii="楷体" w:hAnsi="楷体" w:eastAsia="楷体"/>
                <w:sz w:val="24"/>
              </w:rPr>
            </w:pPr>
            <w:r>
              <w:rPr>
                <w:rFonts w:hint="eastAsia" w:ascii="楷体" w:hAnsi="楷体" w:eastAsia="楷体"/>
                <w:sz w:val="24"/>
              </w:rPr>
              <w:t>拥护中国共产党的领导，热爱社会主义祖国，热爱学校；自觉参加政治学习，思想积极上进，敢于同错误言行作斗争；积极践行社会主义核心价值观，弘扬主旋律，传递正能量。</w:t>
            </w:r>
          </w:p>
        </w:tc>
        <w:tc>
          <w:tcPr>
            <w:tcW w:w="870" w:type="dxa"/>
            <w:vAlign w:val="center"/>
          </w:tcPr>
          <w:p w14:paraId="2F6BD7F2">
            <w:pPr>
              <w:spacing w:line="620" w:lineRule="exact"/>
              <w:rPr>
                <w:rFonts w:ascii="仿宋_GB2312" w:hAnsi="宋体" w:eastAsia="仿宋_GB2312"/>
                <w:szCs w:val="21"/>
              </w:rPr>
            </w:pPr>
            <w:r>
              <w:rPr>
                <w:rFonts w:hint="eastAsia" w:ascii="仿宋_GB2312" w:hAnsi="宋体" w:eastAsia="仿宋_GB2312"/>
                <w:szCs w:val="21"/>
              </w:rPr>
              <w:t>20-16</w:t>
            </w:r>
          </w:p>
        </w:tc>
        <w:tc>
          <w:tcPr>
            <w:tcW w:w="870" w:type="dxa"/>
            <w:vAlign w:val="center"/>
          </w:tcPr>
          <w:p w14:paraId="07BA2717">
            <w:pPr>
              <w:spacing w:line="620" w:lineRule="exact"/>
              <w:ind w:firstLine="21" w:firstLineChars="10"/>
              <w:jc w:val="left"/>
              <w:rPr>
                <w:rFonts w:ascii="仿宋_GB2312" w:hAnsi="宋体" w:eastAsia="仿宋_GB2312"/>
                <w:szCs w:val="21"/>
              </w:rPr>
            </w:pPr>
            <w:r>
              <w:rPr>
                <w:rFonts w:hint="eastAsia" w:ascii="仿宋_GB2312" w:hAnsi="宋体" w:eastAsia="仿宋_GB2312"/>
                <w:szCs w:val="21"/>
              </w:rPr>
              <w:t>15-12</w:t>
            </w:r>
          </w:p>
        </w:tc>
        <w:tc>
          <w:tcPr>
            <w:tcW w:w="1005" w:type="dxa"/>
            <w:vAlign w:val="center"/>
          </w:tcPr>
          <w:p w14:paraId="42177945">
            <w:pPr>
              <w:spacing w:line="620" w:lineRule="exact"/>
              <w:rPr>
                <w:rFonts w:ascii="仿宋_GB2312" w:hAnsi="宋体" w:eastAsia="仿宋_GB2312"/>
                <w:szCs w:val="21"/>
              </w:rPr>
            </w:pPr>
            <w:r>
              <w:rPr>
                <w:rFonts w:hint="eastAsia" w:ascii="仿宋_GB2312" w:hAnsi="宋体" w:eastAsia="仿宋_GB2312"/>
                <w:szCs w:val="21"/>
              </w:rPr>
              <w:t>12以下</w:t>
            </w:r>
          </w:p>
        </w:tc>
      </w:tr>
      <w:tr w14:paraId="33593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vAlign w:val="center"/>
          </w:tcPr>
          <w:p w14:paraId="4D76124B">
            <w:pPr>
              <w:spacing w:line="620" w:lineRule="exact"/>
              <w:ind w:right="-105" w:rightChars="-50"/>
              <w:jc w:val="center"/>
              <w:rPr>
                <w:rFonts w:ascii="楷体" w:hAnsi="楷体" w:eastAsia="楷体"/>
                <w:sz w:val="24"/>
              </w:rPr>
            </w:pPr>
            <w:r>
              <w:rPr>
                <w:rFonts w:hint="eastAsia" w:ascii="楷体" w:hAnsi="楷体" w:eastAsia="楷体"/>
                <w:b/>
                <w:bCs/>
                <w:sz w:val="24"/>
              </w:rPr>
              <w:t>集体观念</w:t>
            </w:r>
          </w:p>
        </w:tc>
        <w:tc>
          <w:tcPr>
            <w:tcW w:w="4245" w:type="dxa"/>
            <w:vAlign w:val="center"/>
          </w:tcPr>
          <w:p w14:paraId="69D13801">
            <w:pPr>
              <w:rPr>
                <w:rFonts w:ascii="楷体" w:hAnsi="楷体" w:eastAsia="楷体"/>
                <w:sz w:val="24"/>
              </w:rPr>
            </w:pPr>
            <w:r>
              <w:rPr>
                <w:rFonts w:hint="eastAsia" w:ascii="楷体" w:hAnsi="楷体" w:eastAsia="楷体"/>
                <w:sz w:val="24"/>
              </w:rPr>
              <w:t>积极参加社会实践和公益劳动；热爱集体，积极参加各种集体活动；团结同学，具有集体荣誉感。</w:t>
            </w:r>
          </w:p>
        </w:tc>
        <w:tc>
          <w:tcPr>
            <w:tcW w:w="870" w:type="dxa"/>
            <w:vAlign w:val="center"/>
          </w:tcPr>
          <w:p w14:paraId="1379A6AC">
            <w:pPr>
              <w:spacing w:line="620" w:lineRule="exact"/>
              <w:rPr>
                <w:rFonts w:ascii="仿宋_GB2312" w:hAnsi="宋体" w:eastAsia="仿宋_GB2312"/>
                <w:szCs w:val="21"/>
              </w:rPr>
            </w:pPr>
            <w:r>
              <w:rPr>
                <w:rFonts w:hint="eastAsia" w:ascii="仿宋_GB2312" w:hAnsi="宋体" w:eastAsia="仿宋_GB2312"/>
                <w:szCs w:val="21"/>
              </w:rPr>
              <w:t>20-16</w:t>
            </w:r>
          </w:p>
        </w:tc>
        <w:tc>
          <w:tcPr>
            <w:tcW w:w="870" w:type="dxa"/>
            <w:vAlign w:val="center"/>
          </w:tcPr>
          <w:p w14:paraId="0FAC853F">
            <w:pPr>
              <w:spacing w:line="620" w:lineRule="exact"/>
              <w:ind w:firstLine="21" w:firstLineChars="10"/>
              <w:jc w:val="left"/>
              <w:rPr>
                <w:rFonts w:ascii="仿宋_GB2312" w:hAnsi="宋体" w:eastAsia="仿宋_GB2312"/>
                <w:szCs w:val="21"/>
              </w:rPr>
            </w:pPr>
            <w:r>
              <w:rPr>
                <w:rFonts w:hint="eastAsia" w:ascii="仿宋_GB2312" w:hAnsi="宋体" w:eastAsia="仿宋_GB2312"/>
                <w:szCs w:val="21"/>
              </w:rPr>
              <w:t>15-12</w:t>
            </w:r>
          </w:p>
        </w:tc>
        <w:tc>
          <w:tcPr>
            <w:tcW w:w="1005" w:type="dxa"/>
            <w:vAlign w:val="center"/>
          </w:tcPr>
          <w:p w14:paraId="147CD8F2">
            <w:pPr>
              <w:spacing w:line="620" w:lineRule="exact"/>
              <w:rPr>
                <w:rFonts w:ascii="仿宋_GB2312" w:hAnsi="宋体" w:eastAsia="仿宋_GB2312"/>
                <w:szCs w:val="21"/>
              </w:rPr>
            </w:pPr>
            <w:r>
              <w:rPr>
                <w:rFonts w:hint="eastAsia" w:ascii="仿宋_GB2312" w:hAnsi="宋体" w:eastAsia="仿宋_GB2312"/>
                <w:szCs w:val="21"/>
              </w:rPr>
              <w:t>12以下</w:t>
            </w:r>
          </w:p>
        </w:tc>
      </w:tr>
      <w:tr w14:paraId="4333F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vAlign w:val="center"/>
          </w:tcPr>
          <w:p w14:paraId="714D6460">
            <w:pPr>
              <w:spacing w:line="620" w:lineRule="exact"/>
              <w:ind w:right="-105" w:rightChars="-50"/>
              <w:jc w:val="center"/>
              <w:rPr>
                <w:rFonts w:ascii="楷体" w:hAnsi="楷体" w:eastAsia="楷体"/>
                <w:sz w:val="24"/>
              </w:rPr>
            </w:pPr>
            <w:r>
              <w:rPr>
                <w:rFonts w:hint="eastAsia" w:ascii="楷体" w:hAnsi="楷体" w:eastAsia="楷体"/>
                <w:b/>
                <w:bCs/>
                <w:sz w:val="24"/>
              </w:rPr>
              <w:t>遵纪守法</w:t>
            </w:r>
          </w:p>
        </w:tc>
        <w:tc>
          <w:tcPr>
            <w:tcW w:w="4245" w:type="dxa"/>
            <w:vAlign w:val="center"/>
          </w:tcPr>
          <w:p w14:paraId="1279CA44">
            <w:pPr>
              <w:rPr>
                <w:rFonts w:ascii="楷体" w:hAnsi="楷体" w:eastAsia="楷体"/>
                <w:sz w:val="24"/>
              </w:rPr>
            </w:pPr>
            <w:r>
              <w:rPr>
                <w:rFonts w:hint="eastAsia" w:ascii="楷体" w:hAnsi="楷体" w:eastAsia="楷体"/>
                <w:sz w:val="24"/>
              </w:rPr>
              <w:t>遵守法律法规和校纪校规；敢于同不法行为作斗争。</w:t>
            </w:r>
          </w:p>
        </w:tc>
        <w:tc>
          <w:tcPr>
            <w:tcW w:w="870" w:type="dxa"/>
            <w:vAlign w:val="center"/>
          </w:tcPr>
          <w:p w14:paraId="6063A04E">
            <w:pPr>
              <w:spacing w:line="620" w:lineRule="exact"/>
              <w:rPr>
                <w:rFonts w:ascii="仿宋_GB2312" w:hAnsi="宋体" w:eastAsia="仿宋_GB2312"/>
                <w:szCs w:val="21"/>
              </w:rPr>
            </w:pPr>
            <w:r>
              <w:rPr>
                <w:rFonts w:hint="eastAsia" w:ascii="仿宋_GB2312" w:hAnsi="宋体" w:eastAsia="仿宋_GB2312"/>
                <w:szCs w:val="21"/>
              </w:rPr>
              <w:t>20-16</w:t>
            </w:r>
          </w:p>
        </w:tc>
        <w:tc>
          <w:tcPr>
            <w:tcW w:w="870" w:type="dxa"/>
            <w:vAlign w:val="center"/>
          </w:tcPr>
          <w:p w14:paraId="5A3A92AB">
            <w:pPr>
              <w:spacing w:line="620" w:lineRule="exact"/>
              <w:ind w:firstLine="21" w:firstLineChars="10"/>
              <w:jc w:val="left"/>
              <w:rPr>
                <w:rFonts w:ascii="仿宋_GB2312" w:hAnsi="宋体" w:eastAsia="仿宋_GB2312"/>
                <w:szCs w:val="21"/>
              </w:rPr>
            </w:pPr>
            <w:r>
              <w:rPr>
                <w:rFonts w:hint="eastAsia" w:ascii="仿宋_GB2312" w:hAnsi="宋体" w:eastAsia="仿宋_GB2312"/>
                <w:szCs w:val="21"/>
              </w:rPr>
              <w:t>15-12</w:t>
            </w:r>
          </w:p>
        </w:tc>
        <w:tc>
          <w:tcPr>
            <w:tcW w:w="1005" w:type="dxa"/>
            <w:vAlign w:val="center"/>
          </w:tcPr>
          <w:p w14:paraId="5AA914F6">
            <w:pPr>
              <w:spacing w:line="620" w:lineRule="exact"/>
              <w:rPr>
                <w:rFonts w:ascii="仿宋_GB2312" w:hAnsi="宋体" w:eastAsia="仿宋_GB2312"/>
                <w:szCs w:val="21"/>
              </w:rPr>
            </w:pPr>
            <w:r>
              <w:rPr>
                <w:rFonts w:hint="eastAsia" w:ascii="仿宋_GB2312" w:hAnsi="宋体" w:eastAsia="仿宋_GB2312"/>
                <w:szCs w:val="21"/>
              </w:rPr>
              <w:t>12以下</w:t>
            </w:r>
          </w:p>
        </w:tc>
      </w:tr>
      <w:tr w14:paraId="250C7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vAlign w:val="center"/>
          </w:tcPr>
          <w:p w14:paraId="37EB3DB2">
            <w:pPr>
              <w:spacing w:line="620" w:lineRule="exact"/>
              <w:ind w:right="-105" w:rightChars="-50"/>
              <w:jc w:val="center"/>
              <w:rPr>
                <w:rFonts w:ascii="楷体" w:hAnsi="楷体" w:eastAsia="楷体"/>
                <w:sz w:val="24"/>
              </w:rPr>
            </w:pPr>
            <w:r>
              <w:rPr>
                <w:rFonts w:hint="eastAsia" w:ascii="楷体" w:hAnsi="楷体" w:eastAsia="楷体"/>
                <w:b/>
                <w:bCs/>
                <w:sz w:val="24"/>
              </w:rPr>
              <w:t>学术道德</w:t>
            </w:r>
          </w:p>
        </w:tc>
        <w:tc>
          <w:tcPr>
            <w:tcW w:w="4245" w:type="dxa"/>
            <w:vAlign w:val="center"/>
          </w:tcPr>
          <w:p w14:paraId="3680F88D">
            <w:pPr>
              <w:rPr>
                <w:rFonts w:ascii="楷体" w:hAnsi="楷体" w:eastAsia="楷体"/>
                <w:sz w:val="24"/>
              </w:rPr>
            </w:pPr>
            <w:r>
              <w:rPr>
                <w:rFonts w:hint="eastAsia" w:ascii="楷体" w:hAnsi="楷体" w:eastAsia="楷体"/>
                <w:sz w:val="24"/>
              </w:rPr>
              <w:t>学习态度端正，积极向上；严谨求实，恪守学术道德和学术规范。</w:t>
            </w:r>
          </w:p>
        </w:tc>
        <w:tc>
          <w:tcPr>
            <w:tcW w:w="870" w:type="dxa"/>
            <w:vAlign w:val="center"/>
          </w:tcPr>
          <w:p w14:paraId="6A988518">
            <w:pPr>
              <w:spacing w:line="620" w:lineRule="exact"/>
              <w:rPr>
                <w:rFonts w:ascii="仿宋_GB2312" w:hAnsi="宋体" w:eastAsia="仿宋_GB2312"/>
                <w:szCs w:val="21"/>
              </w:rPr>
            </w:pPr>
            <w:r>
              <w:rPr>
                <w:rFonts w:hint="eastAsia" w:ascii="仿宋_GB2312" w:hAnsi="宋体" w:eastAsia="仿宋_GB2312"/>
                <w:szCs w:val="21"/>
              </w:rPr>
              <w:t>20-16</w:t>
            </w:r>
          </w:p>
        </w:tc>
        <w:tc>
          <w:tcPr>
            <w:tcW w:w="870" w:type="dxa"/>
            <w:vAlign w:val="center"/>
          </w:tcPr>
          <w:p w14:paraId="4C4C96DB">
            <w:pPr>
              <w:spacing w:line="620" w:lineRule="exact"/>
              <w:ind w:firstLine="21" w:firstLineChars="10"/>
              <w:jc w:val="left"/>
              <w:rPr>
                <w:rFonts w:ascii="仿宋_GB2312" w:hAnsi="宋体" w:eastAsia="仿宋_GB2312"/>
                <w:szCs w:val="21"/>
              </w:rPr>
            </w:pPr>
            <w:r>
              <w:rPr>
                <w:rFonts w:hint="eastAsia" w:ascii="仿宋_GB2312" w:hAnsi="宋体" w:eastAsia="仿宋_GB2312"/>
                <w:szCs w:val="21"/>
              </w:rPr>
              <w:t>15-12</w:t>
            </w:r>
          </w:p>
        </w:tc>
        <w:tc>
          <w:tcPr>
            <w:tcW w:w="1005" w:type="dxa"/>
            <w:vAlign w:val="center"/>
          </w:tcPr>
          <w:p w14:paraId="4F5A4BD2">
            <w:pPr>
              <w:spacing w:line="620" w:lineRule="exact"/>
              <w:rPr>
                <w:rFonts w:ascii="仿宋_GB2312" w:hAnsi="宋体" w:eastAsia="仿宋_GB2312"/>
                <w:szCs w:val="21"/>
              </w:rPr>
            </w:pPr>
            <w:r>
              <w:rPr>
                <w:rFonts w:hint="eastAsia" w:ascii="仿宋_GB2312" w:hAnsi="宋体" w:eastAsia="仿宋_GB2312"/>
                <w:szCs w:val="21"/>
              </w:rPr>
              <w:t>12以下</w:t>
            </w:r>
          </w:p>
        </w:tc>
      </w:tr>
      <w:tr w14:paraId="49DE3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vAlign w:val="center"/>
          </w:tcPr>
          <w:p w14:paraId="3E1ED581">
            <w:pPr>
              <w:spacing w:line="620" w:lineRule="exact"/>
              <w:ind w:right="-105" w:rightChars="-50"/>
              <w:jc w:val="center"/>
              <w:rPr>
                <w:rFonts w:ascii="楷体" w:hAnsi="楷体" w:eastAsia="楷体"/>
                <w:sz w:val="24"/>
              </w:rPr>
            </w:pPr>
            <w:r>
              <w:rPr>
                <w:rFonts w:hint="eastAsia" w:ascii="楷体" w:hAnsi="楷体" w:eastAsia="楷体"/>
                <w:b/>
                <w:bCs/>
                <w:sz w:val="24"/>
              </w:rPr>
              <w:t>社会公德</w:t>
            </w:r>
          </w:p>
        </w:tc>
        <w:tc>
          <w:tcPr>
            <w:tcW w:w="4245" w:type="dxa"/>
            <w:vAlign w:val="center"/>
          </w:tcPr>
          <w:p w14:paraId="2062DF00">
            <w:pPr>
              <w:rPr>
                <w:rFonts w:ascii="楷体" w:hAnsi="楷体" w:eastAsia="楷体"/>
                <w:sz w:val="24"/>
              </w:rPr>
            </w:pPr>
            <w:r>
              <w:rPr>
                <w:rFonts w:hint="eastAsia" w:ascii="楷体" w:hAnsi="楷体" w:eastAsia="楷体"/>
                <w:sz w:val="24"/>
              </w:rPr>
              <w:t>遵守社会秩序和公民道德规范，维护公序良俗；诚实守信，尊老爱幼，乐于助人；爱护公物，勤俭节约。</w:t>
            </w:r>
          </w:p>
        </w:tc>
        <w:tc>
          <w:tcPr>
            <w:tcW w:w="870" w:type="dxa"/>
            <w:vAlign w:val="center"/>
          </w:tcPr>
          <w:p w14:paraId="4E76FEAB">
            <w:pPr>
              <w:spacing w:line="620" w:lineRule="exact"/>
              <w:rPr>
                <w:rFonts w:ascii="仿宋_GB2312" w:hAnsi="宋体" w:eastAsia="仿宋_GB2312"/>
                <w:szCs w:val="21"/>
              </w:rPr>
            </w:pPr>
            <w:r>
              <w:rPr>
                <w:rFonts w:hint="eastAsia" w:ascii="仿宋_GB2312" w:hAnsi="宋体" w:eastAsia="仿宋_GB2312"/>
                <w:szCs w:val="21"/>
              </w:rPr>
              <w:t>20-16</w:t>
            </w:r>
          </w:p>
        </w:tc>
        <w:tc>
          <w:tcPr>
            <w:tcW w:w="870" w:type="dxa"/>
            <w:vAlign w:val="center"/>
          </w:tcPr>
          <w:p w14:paraId="38F55DDA">
            <w:pPr>
              <w:spacing w:line="620" w:lineRule="exact"/>
              <w:ind w:firstLine="21" w:firstLineChars="10"/>
              <w:jc w:val="left"/>
              <w:rPr>
                <w:rFonts w:ascii="仿宋_GB2312" w:hAnsi="宋体" w:eastAsia="仿宋_GB2312"/>
                <w:szCs w:val="21"/>
              </w:rPr>
            </w:pPr>
            <w:r>
              <w:rPr>
                <w:rFonts w:hint="eastAsia" w:ascii="仿宋_GB2312" w:hAnsi="宋体" w:eastAsia="仿宋_GB2312"/>
                <w:szCs w:val="21"/>
              </w:rPr>
              <w:t>15-12</w:t>
            </w:r>
          </w:p>
        </w:tc>
        <w:tc>
          <w:tcPr>
            <w:tcW w:w="1005" w:type="dxa"/>
            <w:vAlign w:val="center"/>
          </w:tcPr>
          <w:p w14:paraId="4C6C231B">
            <w:pPr>
              <w:spacing w:line="620" w:lineRule="exact"/>
              <w:rPr>
                <w:rFonts w:ascii="仿宋_GB2312" w:hAnsi="宋体" w:eastAsia="仿宋_GB2312"/>
                <w:szCs w:val="21"/>
              </w:rPr>
            </w:pPr>
            <w:r>
              <w:rPr>
                <w:rFonts w:hint="eastAsia" w:ascii="仿宋_GB2312" w:hAnsi="宋体" w:eastAsia="仿宋_GB2312"/>
                <w:szCs w:val="21"/>
              </w:rPr>
              <w:t>12以下</w:t>
            </w:r>
          </w:p>
        </w:tc>
      </w:tr>
    </w:tbl>
    <w:p w14:paraId="6C2358D9">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注：本表供评价小组成员和评价对象使用。</w:t>
      </w:r>
    </w:p>
    <w:p w14:paraId="735F1D88">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2.德育评价加减分（A2）</w:t>
      </w:r>
    </w:p>
    <w:p w14:paraId="35BB3367">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（1）因先进事迹被州市级以上通报表扬的，每次加分10分；被学校、学院通报表扬的，每次分别加5分和2分。</w:t>
      </w:r>
    </w:p>
    <w:p w14:paraId="2E674FD7">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（2）未完成党员培训等学校或学院规定的教育主题活动的，每次扣2分；</w:t>
      </w:r>
    </w:p>
    <w:p w14:paraId="76A36296">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w:t>
      </w:r>
      <w:r>
        <w:rPr>
          <w:rFonts w:ascii="楷体" w:hAnsi="楷体" w:eastAsia="楷体" w:cs="宋体"/>
          <w:kern w:val="0"/>
          <w:sz w:val="24"/>
        </w:rPr>
        <w:t>3</w:t>
      </w:r>
      <w:r>
        <w:rPr>
          <w:rFonts w:hint="eastAsia" w:ascii="楷体" w:hAnsi="楷体" w:eastAsia="楷体" w:cs="宋体"/>
          <w:kern w:val="0"/>
          <w:sz w:val="24"/>
        </w:rPr>
        <w:t>）违反社会公德，传播不实言论，有损研究生形象等行为，被学院通报的每次扣2分；</w:t>
      </w:r>
    </w:p>
    <w:p w14:paraId="327C5193">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w:t>
      </w:r>
      <w:r>
        <w:rPr>
          <w:rFonts w:ascii="楷体" w:hAnsi="楷体" w:eastAsia="楷体" w:cs="宋体"/>
          <w:kern w:val="0"/>
          <w:sz w:val="24"/>
        </w:rPr>
        <w:t>4</w:t>
      </w:r>
      <w:r>
        <w:rPr>
          <w:rFonts w:hint="eastAsia" w:ascii="楷体" w:hAnsi="楷体" w:eastAsia="楷体" w:cs="宋体"/>
          <w:kern w:val="0"/>
          <w:sz w:val="24"/>
        </w:rPr>
        <w:t>）德育评价低于60分者，取消当年评先评优资格。</w:t>
      </w:r>
    </w:p>
    <w:p w14:paraId="4C824FBE">
      <w:pPr>
        <w:widowControl/>
        <w:spacing w:line="300" w:lineRule="auto"/>
        <w:rPr>
          <w:rFonts w:ascii="楷体" w:hAnsi="楷体" w:eastAsia="楷体" w:cs="宋体"/>
          <w:kern w:val="0"/>
          <w:sz w:val="24"/>
        </w:rPr>
      </w:pPr>
      <w:r>
        <w:rPr>
          <w:rFonts w:hint="eastAsia" w:ascii="楷体" w:hAnsi="楷体" w:eastAsia="楷体" w:cs="宋体"/>
          <w:kern w:val="0"/>
          <w:sz w:val="24"/>
        </w:rPr>
        <w:t>有下列情形之一者，德育评价以0分计：</w:t>
      </w:r>
    </w:p>
    <w:p w14:paraId="7318DB04">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(1)违背四项基本原则，造成严重后果或影响。</w:t>
      </w:r>
    </w:p>
    <w:p w14:paraId="7AB5C621">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(2)违反政治纪律，造成严重后果或影响。</w:t>
      </w:r>
    </w:p>
    <w:p w14:paraId="1C3255F4">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(3)违反相关法律法规受到惩处。</w:t>
      </w:r>
    </w:p>
    <w:p w14:paraId="09B3F2F1">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(4)违反校纪校规，受到留校察看及以上处分。</w:t>
      </w:r>
    </w:p>
    <w:p w14:paraId="56BC24B8">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3.德育评价成绩计算</w:t>
      </w:r>
    </w:p>
    <w:p w14:paraId="6127CAE5">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德育评价成绩（A）=基础分（A1）+加减分（A2）</w:t>
      </w:r>
    </w:p>
    <w:p w14:paraId="230E7E10">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德育基础分不超过90分，德育评价成绩（A）最终得分不得超过100分，超过分值作为同等条件下评优评先的重要参考。</w:t>
      </w:r>
    </w:p>
    <w:p w14:paraId="351BAAC3">
      <w:pPr>
        <w:widowControl/>
        <w:spacing w:line="300" w:lineRule="auto"/>
        <w:ind w:firstLine="480" w:firstLineChars="200"/>
        <w:rPr>
          <w:rFonts w:ascii="楷体" w:hAnsi="楷体" w:eastAsia="楷体" w:cs="宋体"/>
          <w:kern w:val="0"/>
          <w:sz w:val="24"/>
        </w:rPr>
      </w:pPr>
    </w:p>
    <w:p w14:paraId="34659005">
      <w:pPr>
        <w:widowControl/>
        <w:numPr>
          <w:ilvl w:val="0"/>
          <w:numId w:val="1"/>
        </w:numPr>
        <w:spacing w:line="300" w:lineRule="auto"/>
        <w:ind w:firstLine="480" w:firstLineChars="200"/>
        <w:rPr>
          <w:rFonts w:hint="eastAsia" w:ascii="楷体" w:hAnsi="楷体" w:eastAsia="楷体" w:cs="宋体"/>
          <w:kern w:val="0"/>
          <w:sz w:val="24"/>
        </w:rPr>
      </w:pPr>
      <w:r>
        <w:rPr>
          <w:rFonts w:hint="eastAsia" w:ascii="楷体" w:hAnsi="楷体" w:eastAsia="楷体" w:cs="宋体"/>
          <w:kern w:val="0"/>
          <w:sz w:val="24"/>
        </w:rPr>
        <w:t>课程与论文评价（B）</w:t>
      </w:r>
    </w:p>
    <w:p w14:paraId="2EC9E015">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一年级研究生课程与论文评价主要考察入学初试、复试及入学后成绩复核考试；其他年级研究生课程与论文评价主要考查学业成绩、学位论文开题报告、培养过程中期考核等环节。课程与论文评价由基础分和加减分组成。</w:t>
      </w:r>
    </w:p>
    <w:p w14:paraId="3E3C8C76">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1.课程与论文评价基础分</w:t>
      </w:r>
    </w:p>
    <w:p w14:paraId="78B467F7">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（1）学业成绩（B1）</w:t>
      </w:r>
    </w:p>
    <w:p w14:paraId="0E7D6B87">
      <w:pPr>
        <w:widowControl/>
        <w:spacing w:line="300" w:lineRule="auto"/>
        <w:ind w:firstLine="480" w:firstLineChars="200"/>
        <w:rPr>
          <w:rFonts w:ascii="楷体" w:hAnsi="楷体" w:eastAsia="楷体" w:cs="宋体"/>
          <w:kern w:val="0"/>
          <w:sz w:val="24"/>
        </w:rPr>
      </w:pPr>
      <w:r>
        <w:rPr>
          <w:rFonts w:ascii="楷体" w:hAnsi="楷体" w:eastAsia="楷体" w:cs="宋体"/>
          <w:kern w:val="0"/>
          <w:sz w:val="24"/>
        </w:rPr>
        <w:t>①</w:t>
      </w:r>
      <w:r>
        <w:rPr>
          <w:rFonts w:hint="eastAsia" w:ascii="楷体" w:hAnsi="楷体" w:eastAsia="楷体" w:cs="宋体"/>
          <w:kern w:val="0"/>
          <w:sz w:val="24"/>
        </w:rPr>
        <w:t>一年级学业成绩以录取综合成绩为依据。</w:t>
      </w:r>
    </w:p>
    <w:p w14:paraId="06671E0E">
      <w:pPr>
        <w:widowControl/>
        <w:spacing w:line="300" w:lineRule="auto"/>
        <w:ind w:firstLine="480" w:firstLineChars="200"/>
        <w:rPr>
          <w:rFonts w:ascii="楷体" w:hAnsi="楷体" w:eastAsia="楷体" w:cs="宋体"/>
          <w:kern w:val="0"/>
          <w:sz w:val="24"/>
        </w:rPr>
      </w:pPr>
      <w:r>
        <w:rPr>
          <w:rFonts w:ascii="楷体" w:hAnsi="楷体" w:eastAsia="楷体" w:cs="宋体"/>
          <w:kern w:val="0"/>
          <w:sz w:val="24"/>
        </w:rPr>
        <w:t>②</w:t>
      </w:r>
      <w:r>
        <w:rPr>
          <w:rFonts w:hint="eastAsia" w:ascii="楷体" w:hAnsi="楷体" w:eastAsia="楷体" w:cs="宋体"/>
          <w:kern w:val="0"/>
          <w:sz w:val="24"/>
        </w:rPr>
        <w:t>其他年级学业成绩是指学生在培养过程中所得公共学位课、专业学位课和选修课的成绩。采用百分制记分的，按课程实际成绩计入；采用非百分制记分的，按优秀＝95分、良好＝80分、中等＝70分、合格＝60分、不合格＝40分标准换算成百分制。学业成绩采用加权平均计算，计算公式为：</w:t>
      </w:r>
    </w:p>
    <w:p w14:paraId="3AA40F34">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学业成绩（B1）</w:t>
      </w:r>
      <w:r>
        <w:rPr>
          <w:rFonts w:ascii="楷体" w:hAnsi="楷体" w:eastAsia="楷体" w:cs="宋体"/>
          <w:kern w:val="0"/>
          <w:sz w:val="24"/>
        </w:rPr>
        <w:t>=</w:t>
      </w:r>
      <w:r>
        <w:rPr>
          <w:rFonts w:hint="eastAsia" w:ascii="楷体" w:hAnsi="楷体" w:eastAsia="楷体" w:cs="宋体"/>
          <w:kern w:val="0"/>
          <w:sz w:val="24"/>
        </w:rPr>
        <w:t>Σ（单科成绩×学分）</w:t>
      </w:r>
      <w:r>
        <w:rPr>
          <w:rFonts w:ascii="楷体" w:hAnsi="楷体" w:eastAsia="楷体" w:cs="宋体"/>
          <w:kern w:val="0"/>
          <w:sz w:val="24"/>
        </w:rPr>
        <w:t>/</w:t>
      </w:r>
      <w:r>
        <w:rPr>
          <w:rFonts w:hint="eastAsia" w:ascii="楷体" w:hAnsi="楷体" w:eastAsia="楷体" w:cs="宋体"/>
          <w:kern w:val="0"/>
          <w:sz w:val="24"/>
        </w:rPr>
        <w:t>学年总学分。</w:t>
      </w:r>
    </w:p>
    <w:p w14:paraId="159F94DA">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（2）学位论文开题报告（B2）</w:t>
      </w:r>
    </w:p>
    <w:p w14:paraId="561AEA56">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开题成绩优秀的计90分，合格的计80分，参加二次开题合格的计60分，二次开题不合格的计0分。</w:t>
      </w:r>
    </w:p>
    <w:p w14:paraId="0ADDA511">
      <w:pPr>
        <w:widowControl/>
        <w:spacing w:line="300" w:lineRule="auto"/>
        <w:ind w:firstLine="480" w:firstLineChars="200"/>
        <w:rPr>
          <w:rFonts w:ascii="楷体" w:hAnsi="楷体" w:eastAsia="楷体" w:cs="宋体"/>
          <w:kern w:val="0"/>
          <w:sz w:val="24"/>
        </w:rPr>
      </w:pPr>
    </w:p>
    <w:p w14:paraId="7FA68AF2">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（3）培养过程中期考核（B3）</w:t>
      </w:r>
    </w:p>
    <w:p w14:paraId="47B6598F">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根据《吉首大学研究生中期考核实施办法》，中期考核通过的计80分，中期考核未通过计0分。</w:t>
      </w:r>
    </w:p>
    <w:p w14:paraId="55E691E1">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2.课程与论文评价加减分（B4）</w:t>
      </w:r>
    </w:p>
    <w:p w14:paraId="29D93619">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（1）有下列情形之一者，课程与论文评价相应加分：</w:t>
      </w:r>
    </w:p>
    <w:p w14:paraId="43588FCB">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①英语CET-6得分425分及以上、公共英语等级5级、雅思6.5及以上或托福60分及以上的加1分，达到加分条件后可在不同年度多次加分，但不同考试类别不重复加分。</w:t>
      </w:r>
    </w:p>
    <w:p w14:paraId="61DB5EB5">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②推免生在研一综合测评中课程与论文成绩计100分。</w:t>
      </w:r>
    </w:p>
    <w:p w14:paraId="770C28C5">
      <w:pPr>
        <w:widowControl/>
        <w:spacing w:line="300" w:lineRule="auto"/>
        <w:ind w:left="210" w:firstLine="240" w:firstLineChars="100"/>
        <w:rPr>
          <w:rFonts w:ascii="楷体" w:hAnsi="楷体" w:eastAsia="楷体" w:cs="宋体"/>
          <w:kern w:val="0"/>
          <w:sz w:val="24"/>
        </w:rPr>
      </w:pPr>
      <w:r>
        <w:rPr>
          <w:rFonts w:hint="eastAsia" w:ascii="楷体" w:hAnsi="楷体" w:eastAsia="楷体" w:cs="宋体"/>
          <w:kern w:val="0"/>
          <w:sz w:val="24"/>
        </w:rPr>
        <w:t>（</w:t>
      </w:r>
      <w:r>
        <w:rPr>
          <w:rFonts w:ascii="楷体" w:hAnsi="楷体" w:eastAsia="楷体" w:cs="宋体"/>
          <w:kern w:val="0"/>
          <w:sz w:val="24"/>
        </w:rPr>
        <w:t>2</w:t>
      </w:r>
      <w:r>
        <w:rPr>
          <w:rFonts w:hint="eastAsia" w:ascii="楷体" w:hAnsi="楷体" w:eastAsia="楷体" w:cs="宋体"/>
          <w:kern w:val="0"/>
          <w:sz w:val="24"/>
        </w:rPr>
        <w:t>）有下列情形之一者，课程与论文评价相应减分：</w:t>
      </w:r>
    </w:p>
    <w:p w14:paraId="65E32764">
      <w:pPr>
        <w:widowControl/>
        <w:spacing w:line="300" w:lineRule="auto"/>
        <w:ind w:left="210" w:firstLine="240" w:firstLineChars="100"/>
        <w:rPr>
          <w:rFonts w:ascii="楷体" w:hAnsi="楷体" w:eastAsia="楷体" w:cs="宋体"/>
          <w:kern w:val="0"/>
          <w:sz w:val="24"/>
        </w:rPr>
      </w:pPr>
      <w:r>
        <w:rPr>
          <w:rFonts w:hint="eastAsia" w:ascii="楷体" w:hAnsi="楷体" w:eastAsia="楷体" w:cs="宋体"/>
          <w:kern w:val="0"/>
          <w:sz w:val="24"/>
        </w:rPr>
        <w:t>①公共学位课、专业学位课和选修课补考、重修，每门扣5分。</w:t>
      </w:r>
    </w:p>
    <w:p w14:paraId="6FF763AE">
      <w:pPr>
        <w:widowControl/>
        <w:spacing w:line="300" w:lineRule="auto"/>
        <w:ind w:left="210" w:firstLine="240" w:firstLineChars="100"/>
        <w:rPr>
          <w:rFonts w:ascii="楷体" w:hAnsi="楷体" w:eastAsia="楷体" w:cs="宋体"/>
          <w:kern w:val="0"/>
          <w:sz w:val="24"/>
        </w:rPr>
      </w:pPr>
      <w:r>
        <w:rPr>
          <w:rFonts w:hint="eastAsia" w:ascii="楷体" w:hAnsi="楷体" w:eastAsia="楷体" w:cs="宋体"/>
          <w:kern w:val="0"/>
          <w:sz w:val="24"/>
        </w:rPr>
        <w:t xml:space="preserve">②旷课每次扣1分，以学校和学院通报的查课记录为准。 </w:t>
      </w:r>
    </w:p>
    <w:p w14:paraId="46918164">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（3）有下列情形之一者，课程与论文评价认定为不合格：</w:t>
      </w:r>
    </w:p>
    <w:p w14:paraId="76EBCD97">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①存在课程考试舞弊等违纪现象者，当年课程与论文评价认定为不合格。</w:t>
      </w:r>
    </w:p>
    <w:p w14:paraId="1C4E2769">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②学年内累计旷课超过11学时或擅自离校超过2天及以上者，当年课程与论文评价认定为不合格。</w:t>
      </w:r>
    </w:p>
    <w:p w14:paraId="50493AD9">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③在科学研究或实验、实践工作中造成重大事故或重大损失者，当年课程与论文评价认定为不合格。</w:t>
      </w:r>
    </w:p>
    <w:p w14:paraId="3CD33F86">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3.课程与论文评价计算方式</w:t>
      </w:r>
    </w:p>
    <w:p w14:paraId="6EE28C11">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一年级：课程与论文评价成绩（B）=B1（入学考试综合成绩）＋B4（加减分）</w:t>
      </w:r>
    </w:p>
    <w:p w14:paraId="1E36F698">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二年级：课程与论文评价成绩（B）=B1（一年级学业成绩）＋B4（加减分）</w:t>
      </w:r>
    </w:p>
    <w:p w14:paraId="3676DF0A">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三年级：课程与论文评价成绩（B）=[B1（一年级学业成绩）＋B2（开题报告评价）＋B3（培养过程中期考核评价）]/3＋B4（加减分）</w:t>
      </w:r>
    </w:p>
    <w:p w14:paraId="6F7A9F53">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课程与论文评价成绩（B）最终得分不得超过该项的满分。</w:t>
      </w:r>
    </w:p>
    <w:p w14:paraId="28F55322">
      <w:pPr>
        <w:widowControl/>
        <w:spacing w:line="300" w:lineRule="auto"/>
        <w:ind w:firstLine="480" w:firstLineChars="200"/>
        <w:rPr>
          <w:rFonts w:ascii="楷体" w:hAnsi="楷体" w:eastAsia="楷体" w:cs="宋体"/>
          <w:kern w:val="0"/>
          <w:sz w:val="24"/>
        </w:rPr>
      </w:pPr>
    </w:p>
    <w:p w14:paraId="16A58E83">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（三）科研与创新素养评价（C）</w:t>
      </w:r>
    </w:p>
    <w:p w14:paraId="7A1EDF90">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科研与创新素养评价主要考查学生科研与创新实践等方面的素养，从学术论文、科研项目、专业竞赛、发明专利、其他学术成果和学术活动等六个方面进行评价。科研与创新素养评价由基础分和加减分组成。</w:t>
      </w:r>
    </w:p>
    <w:p w14:paraId="6C72BE4B">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1.科研与创新素养评价内容</w:t>
      </w:r>
    </w:p>
    <w:p w14:paraId="7F17C082">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(1)学术论文能力评价（C1）</w:t>
      </w:r>
    </w:p>
    <w:p w14:paraId="7C6FD830">
      <w:pPr>
        <w:widowControl/>
        <w:spacing w:line="300" w:lineRule="auto"/>
        <w:ind w:firstLine="480" w:firstLineChars="200"/>
        <w:jc w:val="center"/>
        <w:rPr>
          <w:rFonts w:ascii="楷体" w:hAnsi="楷体" w:eastAsia="楷体" w:cs="宋体"/>
          <w:kern w:val="0"/>
          <w:sz w:val="24"/>
        </w:rPr>
      </w:pPr>
      <w:r>
        <w:rPr>
          <w:rFonts w:hint="eastAsia" w:ascii="楷体" w:hAnsi="楷体" w:eastAsia="楷体" w:cs="宋体"/>
          <w:kern w:val="0"/>
          <w:sz w:val="24"/>
        </w:rPr>
        <w:t>表</w:t>
      </w:r>
      <w:r>
        <w:rPr>
          <w:rFonts w:ascii="楷体" w:hAnsi="楷体" w:eastAsia="楷体" w:cs="宋体"/>
          <w:kern w:val="0"/>
          <w:sz w:val="24"/>
        </w:rPr>
        <w:t xml:space="preserve">3 </w:t>
      </w:r>
      <w:r>
        <w:rPr>
          <w:rFonts w:hint="eastAsia" w:ascii="楷体" w:hAnsi="楷体" w:eastAsia="楷体" w:cs="宋体"/>
          <w:kern w:val="0"/>
          <w:sz w:val="24"/>
        </w:rPr>
        <w:t>学术论文加分标准</w:t>
      </w:r>
    </w:p>
    <w:p w14:paraId="160D9855">
      <w:pPr>
        <w:widowControl/>
        <w:spacing w:line="300" w:lineRule="auto"/>
        <w:rPr>
          <w:rFonts w:ascii="楷体" w:hAnsi="楷体" w:eastAsia="楷体" w:cs="宋体"/>
          <w:kern w:val="0"/>
          <w:sz w:val="24"/>
        </w:rPr>
      </w:pPr>
      <w:r>
        <w:drawing>
          <wp:inline distT="0" distB="0" distL="0" distR="0">
            <wp:extent cx="5615940" cy="2712085"/>
            <wp:effectExtent l="0" t="0" r="381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615940" cy="2712085"/>
                    </a:xfrm>
                    <a:prstGeom prst="rect">
                      <a:avLst/>
                    </a:prstGeom>
                  </pic:spPr>
                </pic:pic>
              </a:graphicData>
            </a:graphic>
          </wp:inline>
        </w:drawing>
      </w:r>
    </w:p>
    <w:p w14:paraId="3698A47A">
      <w:pPr>
        <w:widowControl/>
        <w:spacing w:line="300" w:lineRule="auto"/>
        <w:ind w:firstLine="480"/>
        <w:rPr>
          <w:rFonts w:ascii="楷体" w:hAnsi="楷体" w:eastAsia="楷体" w:cs="宋体"/>
          <w:kern w:val="0"/>
          <w:sz w:val="24"/>
        </w:rPr>
      </w:pPr>
      <w:r>
        <w:rPr>
          <w:rFonts w:hint="eastAsia" w:ascii="楷体" w:hAnsi="楷体" w:eastAsia="楷体" w:cs="宋体"/>
          <w:kern w:val="0"/>
          <w:sz w:val="24"/>
        </w:rPr>
        <w:t>注：</w:t>
      </w:r>
    </w:p>
    <w:p w14:paraId="0880A4FB">
      <w:pPr>
        <w:widowControl/>
        <w:spacing w:line="300" w:lineRule="auto"/>
        <w:ind w:firstLine="480"/>
        <w:rPr>
          <w:rFonts w:ascii="楷体" w:hAnsi="楷体" w:eastAsia="楷体" w:cs="宋体"/>
          <w:color w:val="auto"/>
          <w:kern w:val="0"/>
          <w:sz w:val="24"/>
        </w:rPr>
      </w:pPr>
      <w:r>
        <w:rPr>
          <w:rFonts w:hint="eastAsia" w:ascii="楷体" w:hAnsi="楷体" w:eastAsia="楷体" w:cs="宋体"/>
          <w:kern w:val="0"/>
          <w:sz w:val="24"/>
        </w:rPr>
        <w:t>①</w:t>
      </w:r>
      <w:r>
        <w:rPr>
          <w:rFonts w:hint="eastAsia" w:ascii="楷体" w:hAnsi="楷体" w:eastAsia="楷体" w:cs="宋体"/>
          <w:color w:val="auto"/>
          <w:kern w:val="0"/>
          <w:sz w:val="24"/>
        </w:rPr>
        <w:t>学术论文需以吉首大学为第一署名单位</w:t>
      </w:r>
      <w:r>
        <w:rPr>
          <w:rFonts w:hint="eastAsia" w:ascii="楷体" w:hAnsi="楷体" w:eastAsia="楷体" w:cs="宋体"/>
          <w:color w:val="auto"/>
          <w:kern w:val="0"/>
          <w:sz w:val="24"/>
          <w:lang w:val="en-US" w:eastAsia="zh-CN"/>
        </w:rPr>
        <w:t>或者合作署名单位</w:t>
      </w:r>
      <w:r>
        <w:rPr>
          <w:rFonts w:hint="eastAsia" w:ascii="楷体" w:hAnsi="楷体" w:eastAsia="楷体" w:cs="宋体"/>
          <w:color w:val="auto"/>
          <w:kern w:val="0"/>
          <w:sz w:val="24"/>
        </w:rPr>
        <w:t>，方可加分。</w:t>
      </w:r>
    </w:p>
    <w:p w14:paraId="36200D89">
      <w:pPr>
        <w:widowControl/>
        <w:spacing w:line="300" w:lineRule="auto"/>
        <w:ind w:firstLine="480"/>
        <w:rPr>
          <w:rFonts w:hint="default" w:ascii="楷体" w:hAnsi="楷体" w:eastAsia="楷体" w:cs="宋体"/>
          <w:color w:val="FF0000"/>
          <w:kern w:val="0"/>
          <w:sz w:val="24"/>
          <w:highlight w:val="yellow"/>
          <w:lang w:val="en-US" w:eastAsia="zh-CN"/>
        </w:rPr>
      </w:pPr>
      <w:r>
        <w:rPr>
          <w:rFonts w:hint="eastAsia" w:ascii="楷体" w:hAnsi="楷体" w:eastAsia="楷体" w:cs="宋体"/>
          <w:color w:val="auto"/>
          <w:kern w:val="0"/>
          <w:sz w:val="24"/>
          <w:highlight w:val="none"/>
        </w:rPr>
        <w:t>②SCI论文分区以论文发表当年中科院大类分区为准，若当年中科院分区未出以前一年中科院大类分区为准，期刊分级以《吉首大学高质量学术论文认定及期刊分级办法（试行）》为准，表中所指学术论文包括研究性论文和综述。</w:t>
      </w:r>
    </w:p>
    <w:p w14:paraId="2E135A9B">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③以第一作者发表的SCI和CSCD不限篇数，非SCI且非CSCD论文和导师一作且本人二作论文累计限2篇，</w:t>
      </w:r>
      <w:r>
        <w:rPr>
          <w:rFonts w:hint="eastAsia" w:ascii="楷体" w:hAnsi="楷体" w:eastAsia="楷体" w:cs="宋体"/>
          <w:color w:val="auto"/>
          <w:kern w:val="0"/>
          <w:sz w:val="24"/>
          <w:lang w:val="en-US" w:eastAsia="zh-CN"/>
        </w:rPr>
        <w:t>排名第三及以后的论文累计限2篇，</w:t>
      </w:r>
      <w:r>
        <w:rPr>
          <w:rFonts w:hint="eastAsia" w:ascii="楷体" w:hAnsi="楷体" w:eastAsia="楷体" w:cs="宋体"/>
          <w:kern w:val="0"/>
          <w:sz w:val="24"/>
        </w:rPr>
        <w:t>超出的论文不计分。</w:t>
      </w:r>
    </w:p>
    <w:p w14:paraId="0401F474">
      <w:pPr>
        <w:widowControl/>
        <w:spacing w:line="300" w:lineRule="auto"/>
        <w:ind w:firstLine="480" w:firstLineChars="200"/>
        <w:rPr>
          <w:rFonts w:ascii="楷体" w:hAnsi="楷体" w:eastAsia="楷体" w:cs="宋体"/>
          <w:kern w:val="0"/>
          <w:sz w:val="24"/>
        </w:rPr>
      </w:pPr>
      <w:r>
        <w:rPr>
          <w:rFonts w:ascii="楷体" w:hAnsi="楷体" w:eastAsia="楷体" w:cs="宋体"/>
          <w:kern w:val="0"/>
          <w:sz w:val="24"/>
        </w:rPr>
        <w:t>④</w:t>
      </w:r>
      <w:r>
        <w:rPr>
          <w:rFonts w:hint="eastAsia" w:ascii="楷体" w:hAnsi="楷体" w:eastAsia="楷体" w:cs="宋体"/>
          <w:kern w:val="0"/>
          <w:sz w:val="24"/>
        </w:rPr>
        <w:t>共同第一作者排</w:t>
      </w:r>
      <w:r>
        <w:rPr>
          <w:rFonts w:hint="eastAsia" w:ascii="楷体" w:hAnsi="楷体" w:eastAsia="楷体" w:cs="宋体"/>
          <w:kern w:val="0"/>
          <w:sz w:val="24"/>
          <w:lang w:val="en-US" w:eastAsia="zh-CN"/>
        </w:rPr>
        <w:t>第一</w:t>
      </w:r>
      <w:r>
        <w:rPr>
          <w:rFonts w:hint="eastAsia" w:ascii="楷体" w:hAnsi="楷体" w:eastAsia="楷体" w:cs="宋体"/>
          <w:kern w:val="0"/>
          <w:sz w:val="24"/>
        </w:rPr>
        <w:t>的按60%加分，排第二的按40%加分；学生第二作者（且导师或副导师第一作者）的按60%加分</w:t>
      </w:r>
      <w:r>
        <w:rPr>
          <w:rFonts w:hint="eastAsia" w:ascii="楷体" w:hAnsi="楷体" w:eastAsia="楷体" w:cs="宋体"/>
          <w:kern w:val="0"/>
          <w:sz w:val="24"/>
          <w:lang w:eastAsia="zh-CN"/>
        </w:rPr>
        <w:t>，</w:t>
      </w:r>
      <w:r>
        <w:rPr>
          <w:rFonts w:hint="eastAsia" w:ascii="楷体" w:hAnsi="楷体" w:eastAsia="楷体" w:cs="宋体"/>
          <w:color w:val="auto"/>
          <w:kern w:val="0"/>
          <w:sz w:val="24"/>
          <w:lang w:val="en-US" w:eastAsia="zh-CN"/>
        </w:rPr>
        <w:t>排名第三的</w:t>
      </w:r>
      <w:r>
        <w:rPr>
          <w:rFonts w:hint="eastAsia" w:ascii="楷体" w:hAnsi="楷体" w:eastAsia="楷体" w:cs="宋体"/>
          <w:color w:val="auto"/>
          <w:kern w:val="0"/>
          <w:sz w:val="24"/>
        </w:rPr>
        <w:t>按</w:t>
      </w:r>
      <w:r>
        <w:rPr>
          <w:rFonts w:hint="eastAsia" w:ascii="楷体" w:hAnsi="楷体" w:eastAsia="楷体" w:cs="宋体"/>
          <w:color w:val="auto"/>
          <w:kern w:val="0"/>
          <w:sz w:val="24"/>
          <w:lang w:val="en-US" w:eastAsia="zh-CN"/>
        </w:rPr>
        <w:t>2</w:t>
      </w:r>
      <w:r>
        <w:rPr>
          <w:rFonts w:hint="eastAsia" w:ascii="楷体" w:hAnsi="楷体" w:eastAsia="楷体" w:cs="宋体"/>
          <w:color w:val="auto"/>
          <w:kern w:val="0"/>
          <w:sz w:val="24"/>
        </w:rPr>
        <w:t>0%加分</w:t>
      </w:r>
      <w:r>
        <w:rPr>
          <w:rFonts w:hint="eastAsia" w:ascii="楷体" w:hAnsi="楷体" w:eastAsia="楷体" w:cs="宋体"/>
          <w:color w:val="auto"/>
          <w:kern w:val="0"/>
          <w:sz w:val="24"/>
          <w:lang w:eastAsia="zh-CN"/>
        </w:rPr>
        <w:t>，</w:t>
      </w:r>
      <w:r>
        <w:rPr>
          <w:rFonts w:hint="eastAsia" w:ascii="楷体" w:hAnsi="楷体" w:eastAsia="楷体" w:cs="宋体"/>
          <w:color w:val="auto"/>
          <w:kern w:val="0"/>
          <w:sz w:val="24"/>
          <w:lang w:val="en-US" w:eastAsia="zh-CN"/>
        </w:rPr>
        <w:t>排名第四及以后的</w:t>
      </w:r>
      <w:r>
        <w:rPr>
          <w:rFonts w:hint="eastAsia" w:ascii="楷体" w:hAnsi="楷体" w:eastAsia="楷体" w:cs="宋体"/>
          <w:color w:val="auto"/>
          <w:kern w:val="0"/>
          <w:sz w:val="24"/>
        </w:rPr>
        <w:t>按</w:t>
      </w:r>
      <w:r>
        <w:rPr>
          <w:rFonts w:hint="eastAsia" w:ascii="楷体" w:hAnsi="楷体" w:eastAsia="楷体" w:cs="宋体"/>
          <w:color w:val="auto"/>
          <w:kern w:val="0"/>
          <w:sz w:val="24"/>
          <w:lang w:val="en-US" w:eastAsia="zh-CN"/>
        </w:rPr>
        <w:t>1</w:t>
      </w:r>
      <w:r>
        <w:rPr>
          <w:rFonts w:hint="eastAsia" w:ascii="楷体" w:hAnsi="楷体" w:eastAsia="楷体" w:cs="宋体"/>
          <w:color w:val="auto"/>
          <w:kern w:val="0"/>
          <w:sz w:val="24"/>
        </w:rPr>
        <w:t>0%加分</w:t>
      </w:r>
      <w:r>
        <w:rPr>
          <w:rFonts w:hint="eastAsia" w:ascii="楷体" w:hAnsi="楷体" w:eastAsia="楷体" w:cs="宋体"/>
          <w:color w:val="auto"/>
          <w:kern w:val="0"/>
          <w:sz w:val="24"/>
          <w:lang w:eastAsia="zh-CN"/>
        </w:rPr>
        <w:t>（</w:t>
      </w:r>
      <w:r>
        <w:rPr>
          <w:rFonts w:hint="eastAsia" w:ascii="楷体" w:hAnsi="楷体" w:eastAsia="楷体" w:cs="宋体"/>
          <w:color w:val="auto"/>
          <w:kern w:val="0"/>
          <w:sz w:val="24"/>
          <w:lang w:val="en-US" w:eastAsia="zh-CN"/>
        </w:rPr>
        <w:t>导师或副导师不计入学生排名</w:t>
      </w:r>
      <w:r>
        <w:rPr>
          <w:rFonts w:hint="eastAsia" w:ascii="楷体" w:hAnsi="楷体" w:eastAsia="楷体" w:cs="宋体"/>
          <w:color w:val="auto"/>
          <w:kern w:val="0"/>
          <w:sz w:val="24"/>
          <w:lang w:eastAsia="zh-CN"/>
        </w:rPr>
        <w:t>）</w:t>
      </w:r>
      <w:r>
        <w:rPr>
          <w:rFonts w:hint="eastAsia" w:ascii="楷体" w:hAnsi="楷体" w:eastAsia="楷体" w:cs="宋体"/>
          <w:kern w:val="0"/>
          <w:sz w:val="24"/>
        </w:rPr>
        <w:t>。</w:t>
      </w:r>
    </w:p>
    <w:p w14:paraId="5A36BBB1">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⑤论文必须正式见刊。有纸质期刊的以纸质期刊时间为准；无纸质期刊的电子刊物，以正式发表为准。</w:t>
      </w:r>
    </w:p>
    <w:p w14:paraId="14EB7FD0">
      <w:pPr>
        <w:widowControl/>
        <w:spacing w:line="300" w:lineRule="auto"/>
        <w:ind w:firstLine="480" w:firstLineChars="200"/>
        <w:rPr>
          <w:rFonts w:ascii="楷体" w:hAnsi="楷体" w:eastAsia="楷体" w:cs="宋体"/>
          <w:kern w:val="0"/>
          <w:sz w:val="24"/>
        </w:rPr>
      </w:pPr>
      <w:r>
        <w:rPr>
          <w:rFonts w:hint="eastAsia" w:ascii="楷体" w:hAnsi="楷体" w:eastAsia="楷体" w:cs="楷体"/>
          <w:kern w:val="0"/>
          <w:sz w:val="24"/>
        </w:rPr>
        <w:t>⑥</w:t>
      </w:r>
      <w:r>
        <w:rPr>
          <w:rFonts w:hint="eastAsia" w:ascii="楷体" w:hAnsi="楷体" w:eastAsia="楷体" w:cs="宋体"/>
          <w:kern w:val="0"/>
          <w:sz w:val="24"/>
        </w:rPr>
        <w:t>同一篇论文被多次收录或转载，只计一次最高分。</w:t>
      </w:r>
    </w:p>
    <w:p w14:paraId="665BCA5F">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 xml:space="preserve">(2)科研项目评价（C2）  </w:t>
      </w:r>
    </w:p>
    <w:p w14:paraId="41AB0277">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科研项目以立项文件及结题证明为依据，主持项目不限，参与项目不计分，项目主持人的第一单位必须署名为吉首大学。</w:t>
      </w:r>
    </w:p>
    <w:p w14:paraId="7F8823F5">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①立项分值：主持立项省级及以上科研项目加1</w:t>
      </w:r>
      <w:r>
        <w:rPr>
          <w:rFonts w:ascii="楷体" w:hAnsi="楷体" w:eastAsia="楷体" w:cs="宋体"/>
          <w:kern w:val="0"/>
          <w:sz w:val="24"/>
        </w:rPr>
        <w:t>0</w:t>
      </w:r>
      <w:r>
        <w:rPr>
          <w:rFonts w:hint="eastAsia" w:ascii="楷体" w:hAnsi="楷体" w:eastAsia="楷体" w:cs="宋体"/>
          <w:kern w:val="0"/>
          <w:sz w:val="24"/>
        </w:rPr>
        <w:t>分，主持立项州级和校级科研项目加5分，</w:t>
      </w:r>
      <w:r>
        <w:rPr>
          <w:rFonts w:hint="eastAsia" w:ascii="楷体" w:hAnsi="楷体" w:eastAsia="楷体" w:cs="宋体"/>
          <w:color w:val="auto"/>
          <w:kern w:val="0"/>
          <w:sz w:val="24"/>
        </w:rPr>
        <w:t>主持</w:t>
      </w:r>
      <w:r>
        <w:rPr>
          <w:rFonts w:hint="eastAsia" w:ascii="楷体" w:hAnsi="楷体" w:eastAsia="楷体" w:cs="宋体"/>
          <w:color w:val="auto"/>
          <w:kern w:val="0"/>
          <w:sz w:val="24"/>
          <w:lang w:val="en-US" w:eastAsia="zh-CN"/>
        </w:rPr>
        <w:t>院</w:t>
      </w:r>
      <w:r>
        <w:rPr>
          <w:rFonts w:hint="eastAsia" w:ascii="楷体" w:hAnsi="楷体" w:eastAsia="楷体" w:cs="宋体"/>
          <w:color w:val="auto"/>
          <w:kern w:val="0"/>
          <w:sz w:val="24"/>
        </w:rPr>
        <w:t>级科研项目加</w:t>
      </w:r>
      <w:r>
        <w:rPr>
          <w:rFonts w:hint="eastAsia" w:ascii="楷体" w:hAnsi="楷体" w:eastAsia="楷体" w:cs="宋体"/>
          <w:color w:val="auto"/>
          <w:kern w:val="0"/>
          <w:sz w:val="24"/>
          <w:lang w:val="en-US" w:eastAsia="zh-CN"/>
        </w:rPr>
        <w:t>2</w:t>
      </w:r>
      <w:r>
        <w:rPr>
          <w:rFonts w:hint="eastAsia" w:ascii="楷体" w:hAnsi="楷体" w:eastAsia="楷体" w:cs="宋体"/>
          <w:color w:val="auto"/>
          <w:kern w:val="0"/>
          <w:sz w:val="24"/>
        </w:rPr>
        <w:t>分</w:t>
      </w:r>
      <w:r>
        <w:rPr>
          <w:rFonts w:hint="eastAsia" w:ascii="楷体" w:hAnsi="楷体" w:eastAsia="楷体" w:cs="宋体"/>
          <w:color w:val="auto"/>
          <w:kern w:val="0"/>
          <w:sz w:val="24"/>
          <w:lang w:eastAsia="zh-CN"/>
        </w:rPr>
        <w:t>，</w:t>
      </w:r>
      <w:r>
        <w:rPr>
          <w:rFonts w:hint="eastAsia" w:ascii="楷体" w:hAnsi="楷体" w:eastAsia="楷体" w:cs="宋体"/>
          <w:kern w:val="0"/>
          <w:sz w:val="24"/>
        </w:rPr>
        <w:t>项目立项当年一次性计算。</w:t>
      </w:r>
    </w:p>
    <w:p w14:paraId="04F873D9">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②结题分值：主持省级及以上科研项目结题加</w:t>
      </w:r>
      <w:r>
        <w:rPr>
          <w:rFonts w:ascii="楷体" w:hAnsi="楷体" w:eastAsia="楷体" w:cs="宋体"/>
          <w:kern w:val="0"/>
          <w:sz w:val="24"/>
        </w:rPr>
        <w:t>5</w:t>
      </w:r>
      <w:r>
        <w:rPr>
          <w:rFonts w:hint="eastAsia" w:ascii="楷体" w:hAnsi="楷体" w:eastAsia="楷体" w:cs="宋体"/>
          <w:kern w:val="0"/>
          <w:sz w:val="24"/>
        </w:rPr>
        <w:t>分，主持州级和校级科研项目结题加2</w:t>
      </w:r>
      <w:r>
        <w:rPr>
          <w:rFonts w:ascii="楷体" w:hAnsi="楷体" w:eastAsia="楷体" w:cs="宋体"/>
          <w:kern w:val="0"/>
          <w:sz w:val="24"/>
        </w:rPr>
        <w:t>.</w:t>
      </w:r>
      <w:r>
        <w:rPr>
          <w:rFonts w:hint="eastAsia" w:ascii="楷体" w:hAnsi="楷体" w:eastAsia="楷体" w:cs="宋体"/>
          <w:kern w:val="0"/>
          <w:sz w:val="24"/>
        </w:rPr>
        <w:t>5分，</w:t>
      </w:r>
      <w:r>
        <w:rPr>
          <w:rFonts w:hint="eastAsia" w:ascii="楷体" w:hAnsi="楷体" w:eastAsia="楷体" w:cs="宋体"/>
          <w:color w:val="auto"/>
          <w:kern w:val="0"/>
          <w:sz w:val="24"/>
        </w:rPr>
        <w:t>主持</w:t>
      </w:r>
      <w:r>
        <w:rPr>
          <w:rFonts w:hint="eastAsia" w:ascii="楷体" w:hAnsi="楷体" w:eastAsia="楷体" w:cs="宋体"/>
          <w:color w:val="auto"/>
          <w:kern w:val="0"/>
          <w:sz w:val="24"/>
          <w:lang w:val="en-US" w:eastAsia="zh-CN"/>
        </w:rPr>
        <w:t>院</w:t>
      </w:r>
      <w:r>
        <w:rPr>
          <w:rFonts w:hint="eastAsia" w:ascii="楷体" w:hAnsi="楷体" w:eastAsia="楷体" w:cs="宋体"/>
          <w:color w:val="auto"/>
          <w:kern w:val="0"/>
          <w:sz w:val="24"/>
        </w:rPr>
        <w:t>级科研项目加</w:t>
      </w:r>
      <w:r>
        <w:rPr>
          <w:rFonts w:hint="eastAsia" w:ascii="楷体" w:hAnsi="楷体" w:eastAsia="楷体" w:cs="宋体"/>
          <w:color w:val="auto"/>
          <w:kern w:val="0"/>
          <w:sz w:val="24"/>
          <w:lang w:val="en-US" w:eastAsia="zh-CN"/>
        </w:rPr>
        <w:t>1</w:t>
      </w:r>
      <w:r>
        <w:rPr>
          <w:rFonts w:hint="eastAsia" w:ascii="楷体" w:hAnsi="楷体" w:eastAsia="楷体" w:cs="宋体"/>
          <w:color w:val="auto"/>
          <w:kern w:val="0"/>
          <w:sz w:val="24"/>
        </w:rPr>
        <w:t>分</w:t>
      </w:r>
      <w:r>
        <w:rPr>
          <w:rFonts w:hint="eastAsia" w:ascii="楷体" w:hAnsi="楷体" w:eastAsia="楷体" w:cs="宋体"/>
          <w:color w:val="auto"/>
          <w:kern w:val="0"/>
          <w:sz w:val="24"/>
          <w:lang w:eastAsia="zh-CN"/>
        </w:rPr>
        <w:t>，</w:t>
      </w:r>
      <w:r>
        <w:rPr>
          <w:rFonts w:hint="eastAsia" w:ascii="楷体" w:hAnsi="楷体" w:eastAsia="楷体" w:cs="宋体"/>
          <w:kern w:val="0"/>
          <w:sz w:val="24"/>
        </w:rPr>
        <w:t>项目结题当年一次性计算。延期结题的项目不计结题分值。</w:t>
      </w:r>
    </w:p>
    <w:p w14:paraId="16D1C087">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(3)学科竞赛评价（C3）</w:t>
      </w:r>
    </w:p>
    <w:p w14:paraId="6A7BA2D5">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①竞赛奖项限报2项最具代表性的奖励，超出的项目不计分。</w:t>
      </w:r>
    </w:p>
    <w:p w14:paraId="2DCBD756">
      <w:pPr>
        <w:widowControl/>
        <w:spacing w:line="300" w:lineRule="auto"/>
        <w:ind w:firstLine="480" w:firstLineChars="200"/>
        <w:jc w:val="left"/>
        <w:rPr>
          <w:rFonts w:ascii="楷体" w:hAnsi="楷体" w:eastAsia="楷体" w:cs="宋体"/>
          <w:kern w:val="0"/>
          <w:sz w:val="24"/>
        </w:rPr>
      </w:pPr>
      <w:r>
        <w:rPr>
          <w:rFonts w:hint="eastAsia" w:ascii="楷体" w:hAnsi="楷体" w:eastAsia="楷体" w:cs="宋体"/>
          <w:kern w:val="0"/>
          <w:sz w:val="24"/>
        </w:rPr>
        <w:t>②共同参与合作的获奖分值根据负责人和参与人员按比例分配，具体分配比例为：二人的分别为70%、30%；三人的分别为50%、30%、20%；四人的分别为50%、30%、10%、10%；五人的分别为50%、20%、10%、10%、10%，排名在第五以后的不予计分。所获奖项为团体奖，但排名不分先后的，所有获奖成员平均分配最高加分分值。同一项目重复获奖的，按最高类别计算。</w:t>
      </w:r>
    </w:p>
    <w:p w14:paraId="583A628D">
      <w:pPr>
        <w:widowControl/>
        <w:spacing w:line="300" w:lineRule="auto"/>
        <w:ind w:firstLine="480" w:firstLineChars="200"/>
        <w:jc w:val="center"/>
        <w:rPr>
          <w:rFonts w:ascii="楷体" w:hAnsi="楷体" w:eastAsia="楷体" w:cs="宋体"/>
          <w:kern w:val="0"/>
          <w:sz w:val="24"/>
        </w:rPr>
      </w:pPr>
      <w:r>
        <w:rPr>
          <w:rFonts w:hint="eastAsia" w:ascii="楷体" w:hAnsi="楷体" w:eastAsia="楷体" w:cs="宋体"/>
          <w:kern w:val="0"/>
          <w:sz w:val="24"/>
        </w:rPr>
        <w:t>表</w:t>
      </w:r>
      <w:r>
        <w:rPr>
          <w:rFonts w:ascii="楷体" w:hAnsi="楷体" w:eastAsia="楷体" w:cs="宋体"/>
          <w:kern w:val="0"/>
          <w:sz w:val="24"/>
        </w:rPr>
        <w:t xml:space="preserve">4 </w:t>
      </w:r>
      <w:r>
        <w:rPr>
          <w:rFonts w:hint="eastAsia" w:ascii="楷体" w:hAnsi="楷体" w:eastAsia="楷体" w:cs="宋体"/>
          <w:kern w:val="0"/>
          <w:sz w:val="24"/>
        </w:rPr>
        <w:t>学科竞赛加分标准</w:t>
      </w:r>
    </w:p>
    <w:tbl>
      <w:tblPr>
        <w:tblStyle w:val="12"/>
        <w:tblW w:w="6764" w:type="dxa"/>
        <w:jc w:val="center"/>
        <w:tblCellSpacing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26"/>
        <w:gridCol w:w="1504"/>
        <w:gridCol w:w="1974"/>
        <w:gridCol w:w="1660"/>
      </w:tblGrid>
      <w:tr w14:paraId="165367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blCellSpacing w:w="0" w:type="dxa"/>
          <w:jc w:val="center"/>
        </w:trPr>
        <w:tc>
          <w:tcPr>
            <w:tcW w:w="1626" w:type="dxa"/>
            <w:tcBorders>
              <w:top w:val="single" w:color="000000" w:sz="6" w:space="0"/>
              <w:left w:val="single" w:color="000000" w:sz="6" w:space="0"/>
              <w:bottom w:val="single" w:color="000000" w:sz="6" w:space="0"/>
              <w:right w:val="single" w:color="000000" w:sz="6" w:space="0"/>
            </w:tcBorders>
            <w:vAlign w:val="center"/>
          </w:tcPr>
          <w:p w14:paraId="6477D2DE">
            <w:pPr>
              <w:widowControl/>
              <w:tabs>
                <w:tab w:val="left" w:pos="360"/>
              </w:tabs>
              <w:spacing w:line="300" w:lineRule="auto"/>
              <w:jc w:val="center"/>
              <w:rPr>
                <w:rFonts w:ascii="楷体" w:hAnsi="楷体" w:eastAsia="楷体" w:cs="宋体"/>
                <w:kern w:val="0"/>
                <w:sz w:val="24"/>
              </w:rPr>
            </w:pPr>
            <w:r>
              <w:rPr>
                <w:rFonts w:hint="eastAsia" w:ascii="楷体" w:hAnsi="楷体" w:eastAsia="楷体" w:cs="宋体"/>
                <w:kern w:val="0"/>
                <w:sz w:val="24"/>
              </w:rPr>
              <w:t>获奖级别</w:t>
            </w:r>
          </w:p>
        </w:tc>
        <w:tc>
          <w:tcPr>
            <w:tcW w:w="1504" w:type="dxa"/>
            <w:tcBorders>
              <w:top w:val="single" w:color="000000" w:sz="6" w:space="0"/>
              <w:left w:val="single" w:color="000000" w:sz="6" w:space="0"/>
              <w:bottom w:val="single" w:color="000000" w:sz="6" w:space="0"/>
              <w:right w:val="single" w:color="000000" w:sz="6" w:space="0"/>
            </w:tcBorders>
            <w:vAlign w:val="center"/>
          </w:tcPr>
          <w:p w14:paraId="46E80324">
            <w:pPr>
              <w:widowControl/>
              <w:tabs>
                <w:tab w:val="left" w:pos="360"/>
              </w:tabs>
              <w:spacing w:line="300" w:lineRule="auto"/>
              <w:jc w:val="center"/>
              <w:rPr>
                <w:rFonts w:ascii="楷体" w:hAnsi="楷体" w:eastAsia="楷体" w:cs="宋体"/>
                <w:kern w:val="0"/>
                <w:sz w:val="24"/>
              </w:rPr>
            </w:pPr>
            <w:r>
              <w:rPr>
                <w:rFonts w:hint="eastAsia" w:ascii="楷体" w:hAnsi="楷体" w:eastAsia="楷体" w:cs="宋体"/>
                <w:kern w:val="0"/>
                <w:sz w:val="24"/>
              </w:rPr>
              <w:t>国家级A</w:t>
            </w:r>
            <w:r>
              <w:rPr>
                <w:rFonts w:ascii="楷体" w:hAnsi="楷体" w:eastAsia="楷体" w:cs="宋体"/>
                <w:kern w:val="0"/>
                <w:sz w:val="24"/>
              </w:rPr>
              <w:t>/B</w:t>
            </w:r>
            <w:r>
              <w:rPr>
                <w:rFonts w:hint="eastAsia" w:ascii="楷体" w:hAnsi="楷体" w:eastAsia="楷体" w:cs="宋体"/>
                <w:kern w:val="0"/>
                <w:sz w:val="24"/>
              </w:rPr>
              <w:t>/C</w:t>
            </w:r>
          </w:p>
        </w:tc>
        <w:tc>
          <w:tcPr>
            <w:tcW w:w="1974" w:type="dxa"/>
            <w:tcBorders>
              <w:top w:val="single" w:color="000000" w:sz="6" w:space="0"/>
              <w:left w:val="single" w:color="000000" w:sz="6" w:space="0"/>
              <w:bottom w:val="single" w:color="000000" w:sz="6" w:space="0"/>
              <w:right w:val="single" w:color="000000" w:sz="6" w:space="0"/>
            </w:tcBorders>
            <w:vAlign w:val="center"/>
          </w:tcPr>
          <w:p w14:paraId="3AF04DC7">
            <w:pPr>
              <w:widowControl/>
              <w:tabs>
                <w:tab w:val="left" w:pos="360"/>
              </w:tabs>
              <w:spacing w:line="300" w:lineRule="auto"/>
              <w:jc w:val="center"/>
              <w:rPr>
                <w:rFonts w:ascii="楷体" w:hAnsi="楷体" w:eastAsia="楷体" w:cs="宋体"/>
                <w:kern w:val="0"/>
                <w:sz w:val="24"/>
              </w:rPr>
            </w:pPr>
            <w:r>
              <w:rPr>
                <w:rFonts w:hint="eastAsia" w:ascii="楷体" w:hAnsi="楷体" w:eastAsia="楷体" w:cs="宋体"/>
                <w:kern w:val="0"/>
                <w:sz w:val="24"/>
              </w:rPr>
              <w:t>省、部级A</w:t>
            </w:r>
            <w:r>
              <w:rPr>
                <w:rFonts w:ascii="楷体" w:hAnsi="楷体" w:eastAsia="楷体" w:cs="宋体"/>
                <w:kern w:val="0"/>
                <w:sz w:val="24"/>
              </w:rPr>
              <w:t>/B</w:t>
            </w:r>
            <w:r>
              <w:rPr>
                <w:rFonts w:hint="eastAsia" w:ascii="楷体" w:hAnsi="楷体" w:eastAsia="楷体" w:cs="宋体"/>
                <w:kern w:val="0"/>
                <w:sz w:val="24"/>
              </w:rPr>
              <w:t>/C</w:t>
            </w:r>
          </w:p>
        </w:tc>
        <w:tc>
          <w:tcPr>
            <w:tcW w:w="1660" w:type="dxa"/>
            <w:tcBorders>
              <w:top w:val="single" w:color="000000" w:sz="6" w:space="0"/>
              <w:left w:val="single" w:color="000000" w:sz="6" w:space="0"/>
              <w:bottom w:val="single" w:color="000000" w:sz="6" w:space="0"/>
              <w:right w:val="single" w:color="000000" w:sz="6" w:space="0"/>
            </w:tcBorders>
            <w:vAlign w:val="center"/>
          </w:tcPr>
          <w:p w14:paraId="2F697CB1">
            <w:pPr>
              <w:widowControl/>
              <w:tabs>
                <w:tab w:val="left" w:pos="360"/>
              </w:tabs>
              <w:spacing w:line="300" w:lineRule="auto"/>
              <w:jc w:val="center"/>
              <w:rPr>
                <w:rFonts w:ascii="楷体" w:hAnsi="楷体" w:eastAsia="楷体" w:cs="宋体"/>
                <w:kern w:val="0"/>
                <w:sz w:val="24"/>
              </w:rPr>
            </w:pPr>
            <w:r>
              <w:rPr>
                <w:rFonts w:hint="eastAsia" w:ascii="楷体" w:hAnsi="楷体" w:eastAsia="楷体" w:cs="宋体"/>
                <w:kern w:val="0"/>
                <w:sz w:val="24"/>
              </w:rPr>
              <w:t>州、校级</w:t>
            </w:r>
          </w:p>
        </w:tc>
      </w:tr>
      <w:tr w14:paraId="6C6B87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6" w:hRule="atLeast"/>
          <w:tblCellSpacing w:w="0" w:type="dxa"/>
          <w:jc w:val="center"/>
        </w:trPr>
        <w:tc>
          <w:tcPr>
            <w:tcW w:w="1626" w:type="dxa"/>
            <w:tcBorders>
              <w:top w:val="single" w:color="000000" w:sz="6" w:space="0"/>
              <w:left w:val="single" w:color="000000" w:sz="6" w:space="0"/>
              <w:bottom w:val="single" w:color="000000" w:sz="6" w:space="0"/>
              <w:right w:val="single" w:color="000000" w:sz="6" w:space="0"/>
            </w:tcBorders>
            <w:vAlign w:val="center"/>
          </w:tcPr>
          <w:p w14:paraId="42AB69A0">
            <w:pPr>
              <w:widowControl/>
              <w:tabs>
                <w:tab w:val="left" w:pos="360"/>
              </w:tabs>
              <w:spacing w:line="300" w:lineRule="auto"/>
              <w:jc w:val="center"/>
              <w:rPr>
                <w:rFonts w:ascii="楷体" w:hAnsi="楷体" w:eastAsia="楷体" w:cs="宋体"/>
                <w:kern w:val="0"/>
                <w:sz w:val="24"/>
              </w:rPr>
            </w:pPr>
            <w:r>
              <w:rPr>
                <w:rFonts w:hint="eastAsia" w:ascii="楷体" w:hAnsi="楷体" w:eastAsia="楷体" w:cs="宋体"/>
                <w:kern w:val="0"/>
                <w:sz w:val="24"/>
              </w:rPr>
              <w:t>一等或特等</w:t>
            </w:r>
          </w:p>
        </w:tc>
        <w:tc>
          <w:tcPr>
            <w:tcW w:w="1504" w:type="dxa"/>
            <w:tcBorders>
              <w:top w:val="single" w:color="000000" w:sz="6" w:space="0"/>
              <w:left w:val="single" w:color="000000" w:sz="6" w:space="0"/>
              <w:bottom w:val="single" w:color="000000" w:sz="6" w:space="0"/>
              <w:right w:val="single" w:color="000000" w:sz="6" w:space="0"/>
            </w:tcBorders>
            <w:vAlign w:val="center"/>
          </w:tcPr>
          <w:p w14:paraId="509A9C84">
            <w:pPr>
              <w:widowControl/>
              <w:tabs>
                <w:tab w:val="left" w:pos="360"/>
              </w:tabs>
              <w:spacing w:line="300" w:lineRule="auto"/>
              <w:jc w:val="center"/>
              <w:rPr>
                <w:rFonts w:ascii="楷体" w:hAnsi="楷体" w:eastAsia="楷体" w:cs="宋体"/>
                <w:kern w:val="0"/>
                <w:sz w:val="24"/>
              </w:rPr>
            </w:pPr>
            <w:r>
              <w:rPr>
                <w:rFonts w:ascii="楷体" w:hAnsi="楷体" w:eastAsia="楷体" w:cs="宋体"/>
                <w:kern w:val="0"/>
                <w:sz w:val="24"/>
              </w:rPr>
              <w:t>8</w:t>
            </w:r>
            <w:r>
              <w:rPr>
                <w:rFonts w:hint="eastAsia" w:ascii="楷体" w:hAnsi="楷体" w:eastAsia="楷体" w:cs="宋体"/>
                <w:kern w:val="0"/>
                <w:sz w:val="24"/>
              </w:rPr>
              <w:t>0/</w:t>
            </w:r>
            <w:r>
              <w:rPr>
                <w:rFonts w:ascii="楷体" w:hAnsi="楷体" w:eastAsia="楷体" w:cs="宋体"/>
                <w:kern w:val="0"/>
                <w:sz w:val="24"/>
              </w:rPr>
              <w:t>60</w:t>
            </w:r>
            <w:r>
              <w:rPr>
                <w:rFonts w:hint="eastAsia" w:ascii="楷体" w:hAnsi="楷体" w:eastAsia="楷体" w:cs="宋体"/>
                <w:kern w:val="0"/>
                <w:sz w:val="24"/>
              </w:rPr>
              <w:t>/40</w:t>
            </w:r>
          </w:p>
        </w:tc>
        <w:tc>
          <w:tcPr>
            <w:tcW w:w="1974" w:type="dxa"/>
            <w:tcBorders>
              <w:top w:val="single" w:color="000000" w:sz="6" w:space="0"/>
              <w:left w:val="single" w:color="000000" w:sz="6" w:space="0"/>
              <w:bottom w:val="single" w:color="000000" w:sz="6" w:space="0"/>
              <w:right w:val="single" w:color="000000" w:sz="6" w:space="0"/>
            </w:tcBorders>
            <w:vAlign w:val="center"/>
          </w:tcPr>
          <w:p w14:paraId="34DB44E8">
            <w:pPr>
              <w:widowControl/>
              <w:tabs>
                <w:tab w:val="left" w:pos="360"/>
              </w:tabs>
              <w:spacing w:line="300" w:lineRule="auto"/>
              <w:jc w:val="center"/>
              <w:rPr>
                <w:rFonts w:ascii="楷体" w:hAnsi="楷体" w:eastAsia="楷体" w:cs="宋体"/>
                <w:kern w:val="0"/>
                <w:sz w:val="24"/>
              </w:rPr>
            </w:pPr>
            <w:r>
              <w:rPr>
                <w:rFonts w:ascii="楷体" w:hAnsi="楷体" w:eastAsia="楷体" w:cs="宋体"/>
                <w:kern w:val="0"/>
                <w:sz w:val="24"/>
              </w:rPr>
              <w:t>40/30</w:t>
            </w:r>
            <w:r>
              <w:rPr>
                <w:rFonts w:hint="eastAsia" w:ascii="楷体" w:hAnsi="楷体" w:eastAsia="楷体" w:cs="宋体"/>
                <w:kern w:val="0"/>
                <w:sz w:val="24"/>
              </w:rPr>
              <w:t>/20</w:t>
            </w:r>
          </w:p>
        </w:tc>
        <w:tc>
          <w:tcPr>
            <w:tcW w:w="1660" w:type="dxa"/>
            <w:tcBorders>
              <w:top w:val="single" w:color="000000" w:sz="6" w:space="0"/>
              <w:left w:val="single" w:color="000000" w:sz="6" w:space="0"/>
              <w:bottom w:val="single" w:color="000000" w:sz="6" w:space="0"/>
              <w:right w:val="single" w:color="000000" w:sz="6" w:space="0"/>
            </w:tcBorders>
            <w:vAlign w:val="center"/>
          </w:tcPr>
          <w:p w14:paraId="01541351">
            <w:pPr>
              <w:widowControl/>
              <w:tabs>
                <w:tab w:val="left" w:pos="360"/>
              </w:tabs>
              <w:spacing w:line="300" w:lineRule="auto"/>
              <w:jc w:val="center"/>
              <w:rPr>
                <w:rFonts w:ascii="楷体" w:hAnsi="楷体" w:eastAsia="楷体" w:cs="宋体"/>
                <w:kern w:val="0"/>
                <w:sz w:val="24"/>
              </w:rPr>
            </w:pPr>
            <w:r>
              <w:rPr>
                <w:rFonts w:ascii="楷体" w:hAnsi="楷体" w:eastAsia="楷体" w:cs="宋体"/>
                <w:kern w:val="0"/>
                <w:sz w:val="24"/>
              </w:rPr>
              <w:t>10</w:t>
            </w:r>
          </w:p>
        </w:tc>
      </w:tr>
      <w:tr w14:paraId="414832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blCellSpacing w:w="0" w:type="dxa"/>
          <w:jc w:val="center"/>
        </w:trPr>
        <w:tc>
          <w:tcPr>
            <w:tcW w:w="1626" w:type="dxa"/>
            <w:tcBorders>
              <w:top w:val="single" w:color="000000" w:sz="6" w:space="0"/>
              <w:left w:val="single" w:color="000000" w:sz="6" w:space="0"/>
              <w:bottom w:val="single" w:color="000000" w:sz="6" w:space="0"/>
              <w:right w:val="single" w:color="000000" w:sz="6" w:space="0"/>
            </w:tcBorders>
            <w:vAlign w:val="center"/>
          </w:tcPr>
          <w:p w14:paraId="34717B34">
            <w:pPr>
              <w:widowControl/>
              <w:tabs>
                <w:tab w:val="left" w:pos="360"/>
              </w:tabs>
              <w:spacing w:line="300" w:lineRule="auto"/>
              <w:jc w:val="center"/>
              <w:rPr>
                <w:rFonts w:ascii="楷体" w:hAnsi="楷体" w:eastAsia="楷体" w:cs="宋体"/>
                <w:kern w:val="0"/>
                <w:sz w:val="24"/>
              </w:rPr>
            </w:pPr>
            <w:r>
              <w:rPr>
                <w:rFonts w:hint="eastAsia" w:ascii="楷体" w:hAnsi="楷体" w:eastAsia="楷体" w:cs="宋体"/>
                <w:kern w:val="0"/>
                <w:sz w:val="24"/>
              </w:rPr>
              <w:t>二等</w:t>
            </w:r>
          </w:p>
        </w:tc>
        <w:tc>
          <w:tcPr>
            <w:tcW w:w="1504" w:type="dxa"/>
            <w:tcBorders>
              <w:top w:val="single" w:color="000000" w:sz="6" w:space="0"/>
              <w:left w:val="single" w:color="000000" w:sz="6" w:space="0"/>
              <w:bottom w:val="single" w:color="000000" w:sz="6" w:space="0"/>
              <w:right w:val="single" w:color="000000" w:sz="6" w:space="0"/>
            </w:tcBorders>
            <w:vAlign w:val="center"/>
          </w:tcPr>
          <w:p w14:paraId="7690A86B">
            <w:pPr>
              <w:widowControl/>
              <w:tabs>
                <w:tab w:val="left" w:pos="360"/>
              </w:tabs>
              <w:spacing w:line="300" w:lineRule="auto"/>
              <w:jc w:val="center"/>
              <w:rPr>
                <w:rFonts w:ascii="楷体" w:hAnsi="楷体" w:eastAsia="楷体" w:cs="宋体"/>
                <w:kern w:val="0"/>
                <w:sz w:val="24"/>
              </w:rPr>
            </w:pPr>
            <w:r>
              <w:rPr>
                <w:rFonts w:ascii="楷体" w:hAnsi="楷体" w:eastAsia="楷体" w:cs="宋体"/>
                <w:kern w:val="0"/>
                <w:sz w:val="24"/>
              </w:rPr>
              <w:t>40/30</w:t>
            </w:r>
            <w:r>
              <w:rPr>
                <w:rFonts w:hint="eastAsia" w:ascii="楷体" w:hAnsi="楷体" w:eastAsia="楷体" w:cs="宋体"/>
                <w:kern w:val="0"/>
                <w:sz w:val="24"/>
              </w:rPr>
              <w:t>/20</w:t>
            </w:r>
          </w:p>
        </w:tc>
        <w:tc>
          <w:tcPr>
            <w:tcW w:w="1974" w:type="dxa"/>
            <w:tcBorders>
              <w:top w:val="single" w:color="000000" w:sz="6" w:space="0"/>
              <w:left w:val="single" w:color="000000" w:sz="6" w:space="0"/>
              <w:bottom w:val="single" w:color="000000" w:sz="6" w:space="0"/>
              <w:right w:val="single" w:color="000000" w:sz="6" w:space="0"/>
            </w:tcBorders>
            <w:vAlign w:val="center"/>
          </w:tcPr>
          <w:p w14:paraId="570A8D42">
            <w:pPr>
              <w:widowControl/>
              <w:tabs>
                <w:tab w:val="left" w:pos="360"/>
              </w:tabs>
              <w:spacing w:line="300" w:lineRule="auto"/>
              <w:jc w:val="center"/>
              <w:rPr>
                <w:rFonts w:ascii="楷体" w:hAnsi="楷体" w:eastAsia="楷体" w:cs="宋体"/>
                <w:kern w:val="0"/>
                <w:sz w:val="24"/>
              </w:rPr>
            </w:pPr>
            <w:r>
              <w:rPr>
                <w:rFonts w:ascii="楷体" w:hAnsi="楷体" w:eastAsia="楷体" w:cs="宋体"/>
                <w:kern w:val="0"/>
                <w:sz w:val="24"/>
              </w:rPr>
              <w:t>2</w:t>
            </w:r>
            <w:r>
              <w:rPr>
                <w:rFonts w:hint="eastAsia" w:ascii="楷体" w:hAnsi="楷体" w:eastAsia="楷体" w:cs="宋体"/>
                <w:kern w:val="0"/>
                <w:sz w:val="24"/>
              </w:rPr>
              <w:t>0</w:t>
            </w:r>
            <w:r>
              <w:rPr>
                <w:rFonts w:ascii="楷体" w:hAnsi="楷体" w:eastAsia="楷体" w:cs="宋体"/>
                <w:kern w:val="0"/>
                <w:sz w:val="24"/>
              </w:rPr>
              <w:t>/15</w:t>
            </w:r>
            <w:r>
              <w:rPr>
                <w:rFonts w:hint="eastAsia" w:ascii="楷体" w:hAnsi="楷体" w:eastAsia="楷体" w:cs="宋体"/>
                <w:kern w:val="0"/>
                <w:sz w:val="24"/>
              </w:rPr>
              <w:t>/10</w:t>
            </w:r>
          </w:p>
        </w:tc>
        <w:tc>
          <w:tcPr>
            <w:tcW w:w="1660" w:type="dxa"/>
            <w:tcBorders>
              <w:top w:val="single" w:color="000000" w:sz="6" w:space="0"/>
              <w:left w:val="single" w:color="000000" w:sz="6" w:space="0"/>
              <w:bottom w:val="single" w:color="000000" w:sz="6" w:space="0"/>
              <w:right w:val="single" w:color="000000" w:sz="6" w:space="0"/>
            </w:tcBorders>
            <w:vAlign w:val="center"/>
          </w:tcPr>
          <w:p w14:paraId="37A41258">
            <w:pPr>
              <w:widowControl/>
              <w:tabs>
                <w:tab w:val="left" w:pos="360"/>
              </w:tabs>
              <w:spacing w:line="300" w:lineRule="auto"/>
              <w:jc w:val="center"/>
              <w:rPr>
                <w:rFonts w:ascii="楷体" w:hAnsi="楷体" w:eastAsia="楷体" w:cs="宋体"/>
                <w:kern w:val="0"/>
                <w:sz w:val="24"/>
              </w:rPr>
            </w:pPr>
            <w:r>
              <w:rPr>
                <w:rFonts w:ascii="楷体" w:hAnsi="楷体" w:eastAsia="楷体" w:cs="宋体"/>
                <w:kern w:val="0"/>
                <w:sz w:val="24"/>
              </w:rPr>
              <w:t>5</w:t>
            </w:r>
          </w:p>
        </w:tc>
      </w:tr>
      <w:tr w14:paraId="0B973E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blCellSpacing w:w="0" w:type="dxa"/>
          <w:jc w:val="center"/>
        </w:trPr>
        <w:tc>
          <w:tcPr>
            <w:tcW w:w="1626" w:type="dxa"/>
            <w:tcBorders>
              <w:top w:val="single" w:color="000000" w:sz="6" w:space="0"/>
              <w:left w:val="single" w:color="000000" w:sz="6" w:space="0"/>
              <w:bottom w:val="single" w:color="000000" w:sz="6" w:space="0"/>
              <w:right w:val="single" w:color="000000" w:sz="6" w:space="0"/>
            </w:tcBorders>
            <w:vAlign w:val="center"/>
          </w:tcPr>
          <w:p w14:paraId="0F389CB3">
            <w:pPr>
              <w:widowControl/>
              <w:tabs>
                <w:tab w:val="left" w:pos="360"/>
              </w:tabs>
              <w:spacing w:line="300" w:lineRule="auto"/>
              <w:jc w:val="center"/>
              <w:rPr>
                <w:rFonts w:ascii="楷体" w:hAnsi="楷体" w:eastAsia="楷体" w:cs="宋体"/>
                <w:kern w:val="0"/>
                <w:sz w:val="24"/>
              </w:rPr>
            </w:pPr>
            <w:r>
              <w:rPr>
                <w:rFonts w:hint="eastAsia" w:ascii="楷体" w:hAnsi="楷体" w:eastAsia="楷体" w:cs="宋体"/>
                <w:kern w:val="0"/>
                <w:sz w:val="24"/>
              </w:rPr>
              <w:t>三等</w:t>
            </w:r>
          </w:p>
        </w:tc>
        <w:tc>
          <w:tcPr>
            <w:tcW w:w="1504" w:type="dxa"/>
            <w:tcBorders>
              <w:top w:val="single" w:color="000000" w:sz="6" w:space="0"/>
              <w:left w:val="single" w:color="000000" w:sz="6" w:space="0"/>
              <w:bottom w:val="single" w:color="000000" w:sz="6" w:space="0"/>
              <w:right w:val="single" w:color="000000" w:sz="6" w:space="0"/>
            </w:tcBorders>
            <w:vAlign w:val="center"/>
          </w:tcPr>
          <w:p w14:paraId="322B69CE">
            <w:pPr>
              <w:widowControl/>
              <w:tabs>
                <w:tab w:val="left" w:pos="360"/>
              </w:tabs>
              <w:spacing w:line="300" w:lineRule="auto"/>
              <w:jc w:val="center"/>
              <w:rPr>
                <w:rFonts w:ascii="楷体" w:hAnsi="楷体" w:eastAsia="楷体" w:cs="宋体"/>
                <w:kern w:val="0"/>
                <w:sz w:val="24"/>
              </w:rPr>
            </w:pPr>
            <w:r>
              <w:rPr>
                <w:rFonts w:ascii="楷体" w:hAnsi="楷体" w:eastAsia="楷体" w:cs="宋体"/>
                <w:kern w:val="0"/>
                <w:sz w:val="24"/>
              </w:rPr>
              <w:t>20/15</w:t>
            </w:r>
            <w:r>
              <w:rPr>
                <w:rFonts w:hint="eastAsia" w:ascii="楷体" w:hAnsi="楷体" w:eastAsia="楷体" w:cs="宋体"/>
                <w:kern w:val="0"/>
                <w:sz w:val="24"/>
              </w:rPr>
              <w:t>/10</w:t>
            </w:r>
          </w:p>
        </w:tc>
        <w:tc>
          <w:tcPr>
            <w:tcW w:w="1974" w:type="dxa"/>
            <w:tcBorders>
              <w:top w:val="single" w:color="000000" w:sz="6" w:space="0"/>
              <w:left w:val="single" w:color="000000" w:sz="6" w:space="0"/>
              <w:bottom w:val="single" w:color="000000" w:sz="6" w:space="0"/>
              <w:right w:val="single" w:color="000000" w:sz="6" w:space="0"/>
            </w:tcBorders>
            <w:vAlign w:val="center"/>
          </w:tcPr>
          <w:p w14:paraId="48BE324E">
            <w:pPr>
              <w:widowControl/>
              <w:tabs>
                <w:tab w:val="left" w:pos="360"/>
              </w:tabs>
              <w:spacing w:line="300" w:lineRule="auto"/>
              <w:jc w:val="center"/>
              <w:rPr>
                <w:rFonts w:ascii="楷体" w:hAnsi="楷体" w:eastAsia="楷体" w:cs="宋体"/>
                <w:kern w:val="0"/>
                <w:sz w:val="24"/>
              </w:rPr>
            </w:pPr>
            <w:r>
              <w:rPr>
                <w:rFonts w:ascii="楷体" w:hAnsi="楷体" w:eastAsia="楷体" w:cs="宋体"/>
                <w:kern w:val="0"/>
                <w:sz w:val="24"/>
              </w:rPr>
              <w:t>10/7.5</w:t>
            </w:r>
            <w:r>
              <w:rPr>
                <w:rFonts w:hint="eastAsia" w:ascii="楷体" w:hAnsi="楷体" w:eastAsia="楷体" w:cs="宋体"/>
                <w:kern w:val="0"/>
                <w:sz w:val="24"/>
              </w:rPr>
              <w:t>/5</w:t>
            </w:r>
          </w:p>
        </w:tc>
        <w:tc>
          <w:tcPr>
            <w:tcW w:w="1660" w:type="dxa"/>
            <w:tcBorders>
              <w:top w:val="single" w:color="000000" w:sz="6" w:space="0"/>
              <w:left w:val="single" w:color="000000" w:sz="6" w:space="0"/>
              <w:bottom w:val="single" w:color="000000" w:sz="6" w:space="0"/>
              <w:right w:val="single" w:color="000000" w:sz="6" w:space="0"/>
            </w:tcBorders>
            <w:vAlign w:val="center"/>
          </w:tcPr>
          <w:p w14:paraId="021F6C1B">
            <w:pPr>
              <w:widowControl/>
              <w:tabs>
                <w:tab w:val="left" w:pos="360"/>
              </w:tabs>
              <w:spacing w:line="300" w:lineRule="auto"/>
              <w:jc w:val="center"/>
              <w:rPr>
                <w:rFonts w:ascii="楷体" w:hAnsi="楷体" w:eastAsia="楷体" w:cs="宋体"/>
                <w:kern w:val="0"/>
                <w:sz w:val="24"/>
              </w:rPr>
            </w:pPr>
            <w:r>
              <w:rPr>
                <w:rFonts w:ascii="楷体" w:hAnsi="楷体" w:eastAsia="楷体" w:cs="宋体"/>
                <w:kern w:val="0"/>
                <w:sz w:val="24"/>
              </w:rPr>
              <w:t>2.5</w:t>
            </w:r>
          </w:p>
        </w:tc>
      </w:tr>
    </w:tbl>
    <w:p w14:paraId="3BE29AE4">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(4)发明专利评价（C4）</w:t>
      </w:r>
    </w:p>
    <w:p w14:paraId="6E7B8E3B">
      <w:pPr>
        <w:widowControl/>
        <w:spacing w:line="300" w:lineRule="auto"/>
        <w:ind w:firstLine="480" w:firstLineChars="200"/>
        <w:rPr>
          <w:rFonts w:ascii="楷体" w:hAnsi="楷体" w:eastAsia="楷体" w:cs="宋体"/>
          <w:color w:val="auto"/>
          <w:kern w:val="0"/>
          <w:sz w:val="24"/>
        </w:rPr>
      </w:pPr>
      <w:r>
        <w:rPr>
          <w:rFonts w:hint="eastAsia" w:ascii="楷体" w:hAnsi="楷体" w:eastAsia="楷体" w:cs="宋体"/>
          <w:kern w:val="0"/>
          <w:sz w:val="24"/>
        </w:rPr>
        <w:t>①以吉首大学为第一授权单位获得国家发明专利权的，加分总值为20分；以吉首大学为第一授权单位获得外观设计、实用新型专利及软件著作权的，加分总值为10分；申请人应该为第一学生发明人，且排名前五</w:t>
      </w:r>
      <w:r>
        <w:rPr>
          <w:rFonts w:hint="eastAsia" w:ascii="楷体" w:hAnsi="楷体" w:eastAsia="楷体" w:cs="宋体"/>
          <w:kern w:val="0"/>
          <w:sz w:val="24"/>
          <w:lang w:eastAsia="zh-CN"/>
        </w:rPr>
        <w:t>，</w:t>
      </w:r>
      <w:r>
        <w:rPr>
          <w:rFonts w:hint="eastAsia" w:ascii="楷体" w:hAnsi="楷体" w:eastAsia="楷体" w:cs="宋体"/>
          <w:color w:val="auto"/>
          <w:kern w:val="0"/>
          <w:sz w:val="24"/>
          <w:lang w:val="en-US" w:eastAsia="zh-CN"/>
        </w:rPr>
        <w:t>以吉首大学为合作单位获得国家发明专利的，发明人按降低一个名次后的排名加分</w:t>
      </w:r>
      <w:r>
        <w:rPr>
          <w:rFonts w:hint="eastAsia" w:ascii="楷体" w:hAnsi="楷体" w:eastAsia="楷体" w:cs="宋体"/>
          <w:color w:val="auto"/>
          <w:kern w:val="0"/>
          <w:sz w:val="24"/>
        </w:rPr>
        <w:t>。</w:t>
      </w:r>
    </w:p>
    <w:p w14:paraId="20D65D9C">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②发明人为一人的按100%加分，发明人为二人的排第一计70%，排第二计30%；为三人的排第一计50%、排第二计30%、排第三计20%；为四人的排第一计50%、排第二计30%、排第三计10%、排第四计10%；为五人的排第一计50%、排第二计20、排第三计10%、排第四计10%、排第五计10%。</w:t>
      </w:r>
    </w:p>
    <w:p w14:paraId="07369912">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②限报2项代表性的专利。</w:t>
      </w:r>
    </w:p>
    <w:p w14:paraId="3D72B34B">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(5)其他学术成果评价（C5）</w:t>
      </w:r>
    </w:p>
    <w:p w14:paraId="7EA43CD8">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以吉首大学为第一署名单位的个人专著、教育部统编教材、省级统编教材、一般教材、译著等学术成果；主编加10分，副主编加5分，不计排名，限报2项。</w:t>
      </w:r>
    </w:p>
    <w:p w14:paraId="0E1D128F">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(6)其他科研与创新实践活动评价（C6）</w:t>
      </w:r>
    </w:p>
    <w:p w14:paraId="5466A115">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 xml:space="preserve">向校级及以上学术会议投论文全文或文摘被收录的每篇加1分，限第一作者，限5篇。 </w:t>
      </w:r>
    </w:p>
    <w:p w14:paraId="187BE1F5">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3.科研与创新素养评价加减分（C7）</w:t>
      </w:r>
    </w:p>
    <w:p w14:paraId="4B710310">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（1）有下列情形之一者，科研与创新素养评价予以相应加分：</w:t>
      </w:r>
    </w:p>
    <w:p w14:paraId="155B7C32">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①在重大科学研究中作出重要贡献或发表具有重大影响力的学术成果，由各学院综合研究确定加分分值。</w:t>
      </w:r>
    </w:p>
    <w:p w14:paraId="3D42557E">
      <w:pPr>
        <w:widowControl/>
        <w:spacing w:line="300" w:lineRule="auto"/>
        <w:ind w:firstLine="480" w:firstLineChars="200"/>
        <w:rPr>
          <w:rFonts w:hint="eastAsia" w:ascii="楷体" w:hAnsi="楷体" w:eastAsia="楷体" w:cs="宋体"/>
          <w:color w:val="auto"/>
          <w:kern w:val="0"/>
          <w:sz w:val="24"/>
          <w:highlight w:val="none"/>
        </w:rPr>
      </w:pPr>
      <w:r>
        <w:rPr>
          <w:rFonts w:hint="eastAsia" w:ascii="楷体" w:hAnsi="楷体" w:eastAsia="楷体" w:cs="宋体"/>
          <w:kern w:val="0"/>
          <w:sz w:val="24"/>
        </w:rPr>
        <w:t>②</w:t>
      </w:r>
      <w:r>
        <w:rPr>
          <w:rFonts w:hint="eastAsia" w:ascii="楷体" w:hAnsi="楷体" w:eastAsia="楷体" w:cs="宋体"/>
          <w:color w:val="auto"/>
          <w:kern w:val="0"/>
          <w:sz w:val="24"/>
          <w:highlight w:val="none"/>
        </w:rPr>
        <w:t>在具有重大影响力的赛事中取得优异成绩，由各学院综合研究确定加分分值。</w:t>
      </w:r>
    </w:p>
    <w:p w14:paraId="04D04A72">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③对学校发展具有特殊贡献的项目，由各学院综合研究确定加分分值。</w:t>
      </w:r>
    </w:p>
    <w:p w14:paraId="36F159EC">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（2）有下列情形之一者，科研与创新素养评价予以相应减分：</w:t>
      </w:r>
    </w:p>
    <w:p w14:paraId="35CB8236">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①存在抄袭剽窃、弄虚作假等学术不端行为，经查证属实者予以减分。</w:t>
      </w:r>
    </w:p>
    <w:p w14:paraId="6B487F77">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②学院认定的其他减分项目。</w:t>
      </w:r>
    </w:p>
    <w:p w14:paraId="5F031196">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4.科研与创新素养评价计算方式</w:t>
      </w:r>
    </w:p>
    <w:p w14:paraId="561F88EA">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科研与创新素养成绩（C）＝C1＋C2＋C3＋C4＋C5＋C6＋C7（加减分）</w:t>
      </w:r>
    </w:p>
    <w:p w14:paraId="79A07289">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原则上科研与创新素养成绩（C）最终得分不得超过该项的满分。</w:t>
      </w:r>
    </w:p>
    <w:p w14:paraId="1561FBE1">
      <w:pPr>
        <w:widowControl/>
        <w:spacing w:line="300" w:lineRule="auto"/>
        <w:ind w:firstLine="480" w:firstLineChars="200"/>
        <w:rPr>
          <w:rFonts w:ascii="楷体" w:hAnsi="楷体" w:eastAsia="楷体" w:cs="宋体"/>
          <w:kern w:val="0"/>
          <w:sz w:val="24"/>
        </w:rPr>
      </w:pPr>
    </w:p>
    <w:p w14:paraId="719541E7">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（四）体美劳育评价</w:t>
      </w:r>
    </w:p>
    <w:p w14:paraId="73ED8ED5">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体美劳育评价由文体美育素养、自我管理素养、社会实践与志愿活动、心理素养、劳动素养等五个方面的评价构成。</w:t>
      </w:r>
      <w:r>
        <w:rPr>
          <w:rFonts w:hint="eastAsia" w:ascii="楷体" w:hAnsi="楷体" w:eastAsia="楷体" w:cs="宋体"/>
          <w:color w:val="auto"/>
          <w:kern w:val="0"/>
          <w:sz w:val="24"/>
          <w:highlight w:val="none"/>
        </w:rPr>
        <w:t>基础分60分</w:t>
      </w:r>
      <w:r>
        <w:rPr>
          <w:rFonts w:hint="eastAsia" w:ascii="楷体" w:hAnsi="楷体" w:eastAsia="楷体" w:cs="宋体"/>
          <w:kern w:val="0"/>
          <w:sz w:val="24"/>
        </w:rPr>
        <w:t>，</w:t>
      </w:r>
      <w:r>
        <w:rPr>
          <w:rFonts w:hint="eastAsia" w:ascii="楷体" w:hAnsi="楷体" w:eastAsia="楷体" w:cs="宋体"/>
          <w:kern w:val="0"/>
          <w:sz w:val="24"/>
          <w:lang w:eastAsia="zh-CN"/>
        </w:rPr>
        <w:t>（</w:t>
      </w:r>
      <w:r>
        <w:rPr>
          <w:rFonts w:hint="eastAsia" w:ascii="楷体" w:hAnsi="楷体" w:eastAsia="楷体" w:cs="宋体"/>
          <w:kern w:val="0"/>
          <w:sz w:val="24"/>
        </w:rPr>
        <w:t>符合加分条件的加分。</w:t>
      </w:r>
    </w:p>
    <w:p w14:paraId="03CEB38E">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1.文艺、体育、美育素养（D1）</w:t>
      </w:r>
    </w:p>
    <w:p w14:paraId="7358177C">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参加学校及以上级别的文艺、体育、美育竞赛获奖的程度和效果，学院根据学生表现予以相应加分，加分分值上限不得超过该项满分。国家级一等奖15分。</w:t>
      </w:r>
    </w:p>
    <w:p w14:paraId="24DDEF35">
      <w:pPr>
        <w:widowControl/>
        <w:spacing w:line="300" w:lineRule="auto"/>
        <w:ind w:firstLine="480" w:firstLineChars="200"/>
        <w:rPr>
          <w:rFonts w:ascii="楷体" w:hAnsi="楷体" w:eastAsia="楷体" w:cs="宋体"/>
          <w:kern w:val="0"/>
          <w:sz w:val="24"/>
        </w:rPr>
      </w:pPr>
    </w:p>
    <w:p w14:paraId="5A182FB2">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2.学生自我管理素养（D2）</w:t>
      </w:r>
    </w:p>
    <w:p w14:paraId="7AE0C00B">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主要评价学生在自我管理实践中的表现，学院根据学生在管理工作表现予以相应加分，加分分值上限不得超过体美劳育评价（D）满分的40%。校研究生会部长及以上、党支部副书记、班长、团支书、研究生助理加20分，党支部委员加10分；经考核小组考核合格的方予以加分。</w:t>
      </w:r>
    </w:p>
    <w:p w14:paraId="1E1A2142">
      <w:pPr>
        <w:widowControl/>
        <w:spacing w:line="300" w:lineRule="auto"/>
        <w:ind w:firstLine="480" w:firstLineChars="200"/>
        <w:rPr>
          <w:rFonts w:ascii="楷体" w:hAnsi="楷体" w:eastAsia="楷体" w:cs="宋体"/>
          <w:kern w:val="0"/>
          <w:sz w:val="24"/>
        </w:rPr>
      </w:pPr>
    </w:p>
    <w:p w14:paraId="7FA9142C">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3.社会实践与志愿活动（D3）</w:t>
      </w:r>
    </w:p>
    <w:p w14:paraId="26B1771C">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主要评价学生参加校级三下乡活动、学院及以上级别志愿活动（以学院记录为准）、社会志愿者活动（附社会组织出具的证明材料）的情况的，每次5分，限10分。</w:t>
      </w:r>
    </w:p>
    <w:p w14:paraId="6F734F8D">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4.心理素养（D4）</w:t>
      </w:r>
    </w:p>
    <w:p w14:paraId="25AF7590">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根据学生是否客观、正确地认识、评价自己，有责任心，善于控制、调节情绪，有合作意识，乐观、向上的心理品质，与同学融洽相处等情况综合评价。评价细则由学院确定。</w:t>
      </w:r>
    </w:p>
    <w:p w14:paraId="0C796D13">
      <w:pPr>
        <w:widowControl/>
        <w:spacing w:line="300" w:lineRule="auto"/>
        <w:ind w:firstLine="480" w:firstLineChars="200"/>
        <w:rPr>
          <w:rFonts w:ascii="楷体" w:hAnsi="楷体" w:eastAsia="楷体" w:cs="宋体"/>
          <w:kern w:val="0"/>
          <w:sz w:val="24"/>
        </w:rPr>
      </w:pPr>
    </w:p>
    <w:p w14:paraId="3875DA8B">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5.劳动素养（D5）</w:t>
      </w:r>
    </w:p>
    <w:p w14:paraId="4D1970A9">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以引导学生崇尚劳动、尊重劳动，培养敢吃苦的闯劲干劲、锤炼能吃苦的坚毅品格为目标。建立劳动清单制度，明确学生参加劳动的具体内容和要求，让学生在实践中养成热爱劳动的习惯，学会劳动、学会勤俭，形成吃苦耐劳的良好品格。评价细则由学院确定。宿舍卫生、实验室卫生、学校其他的劳动活动，以学校或政府的凭证为准。通报表扬的，每次加5分，限10分；通报批评的每次扣5分。参加创新创业竞赛活动但未获奖的、社会公益活动（提供凭证）等每项加5分，限1项。</w:t>
      </w:r>
    </w:p>
    <w:p w14:paraId="17F93A00">
      <w:pPr>
        <w:widowControl/>
        <w:spacing w:line="300" w:lineRule="auto"/>
        <w:ind w:firstLine="480" w:firstLineChars="200"/>
        <w:rPr>
          <w:rFonts w:ascii="楷体" w:hAnsi="楷体" w:eastAsia="楷体" w:cs="宋体"/>
          <w:kern w:val="0"/>
          <w:sz w:val="24"/>
        </w:rPr>
      </w:pPr>
    </w:p>
    <w:p w14:paraId="474F7639">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6.体美劳育评价计算方式</w:t>
      </w:r>
    </w:p>
    <w:p w14:paraId="30364A4D">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体美劳育评价成绩（D）＝D1＋D2＋D3＋D4＋D5</w:t>
      </w:r>
    </w:p>
    <w:p w14:paraId="63BC5BD7">
      <w:pPr>
        <w:widowControl/>
        <w:spacing w:line="300" w:lineRule="auto"/>
        <w:ind w:firstLine="480" w:firstLineChars="200"/>
        <w:rPr>
          <w:rFonts w:ascii="楷体" w:hAnsi="楷体" w:eastAsia="楷体" w:cs="宋体"/>
          <w:kern w:val="0"/>
          <w:sz w:val="24"/>
        </w:rPr>
      </w:pPr>
      <w:r>
        <w:rPr>
          <w:rFonts w:hint="eastAsia" w:ascii="楷体" w:hAnsi="楷体" w:eastAsia="楷体" w:cs="宋体"/>
          <w:kern w:val="0"/>
          <w:sz w:val="24"/>
        </w:rPr>
        <w:t>体美劳育评价成绩（D）最终得分不得超过该项的满分。</w:t>
      </w:r>
    </w:p>
    <w:p w14:paraId="4355B9B5">
      <w:pPr>
        <w:widowControl/>
        <w:spacing w:line="300" w:lineRule="auto"/>
        <w:ind w:firstLine="480" w:firstLineChars="200"/>
        <w:rPr>
          <w:rFonts w:ascii="楷体" w:hAnsi="楷体" w:eastAsia="楷体" w:cs="宋体"/>
          <w:kern w:val="0"/>
          <w:sz w:val="24"/>
        </w:rPr>
      </w:pPr>
    </w:p>
    <w:p w14:paraId="0A2DE787">
      <w:pPr>
        <w:widowControl/>
        <w:spacing w:line="300" w:lineRule="auto"/>
        <w:ind w:firstLine="482" w:firstLineChars="200"/>
        <w:rPr>
          <w:rFonts w:hint="default" w:ascii="楷体" w:hAnsi="楷体" w:eastAsia="楷体" w:cs="宋体"/>
          <w:kern w:val="0"/>
          <w:sz w:val="24"/>
          <w:lang w:val="en-US" w:eastAsia="zh-CN"/>
        </w:rPr>
      </w:pPr>
      <w:r>
        <w:rPr>
          <w:rFonts w:hint="eastAsia" w:ascii="楷体" w:hAnsi="楷体" w:eastAsia="楷体" w:cs="宋体"/>
          <w:b/>
          <w:bCs/>
          <w:kern w:val="0"/>
          <w:sz w:val="24"/>
        </w:rPr>
        <w:t>四、</w:t>
      </w:r>
      <w:r>
        <w:rPr>
          <w:rFonts w:hint="eastAsia" w:ascii="楷体" w:hAnsi="楷体" w:eastAsia="楷体" w:cs="宋体"/>
          <w:b/>
          <w:bCs/>
          <w:kern w:val="0"/>
          <w:sz w:val="24"/>
          <w:lang w:val="en-US" w:eastAsia="zh-CN"/>
        </w:rPr>
        <w:t>评测标准</w:t>
      </w:r>
    </w:p>
    <w:p w14:paraId="169F3815">
      <w:pPr>
        <w:widowControl/>
        <w:spacing w:line="300" w:lineRule="auto"/>
        <w:ind w:firstLine="480" w:firstLineChars="200"/>
        <w:rPr>
          <w:rFonts w:hint="eastAsia" w:ascii="楷体" w:hAnsi="楷体" w:eastAsia="楷体" w:cs="宋体"/>
          <w:kern w:val="0"/>
          <w:sz w:val="24"/>
        </w:rPr>
      </w:pPr>
      <w:r>
        <w:rPr>
          <w:rFonts w:hint="eastAsia" w:ascii="楷体" w:hAnsi="楷体" w:eastAsia="楷体" w:cs="宋体"/>
          <w:kern w:val="0"/>
          <w:sz w:val="24"/>
        </w:rPr>
        <w:t>（一）研究生期间必须是全脱产学习；</w:t>
      </w:r>
    </w:p>
    <w:p w14:paraId="2ADD3DD1">
      <w:pPr>
        <w:widowControl/>
        <w:spacing w:line="300" w:lineRule="auto"/>
        <w:ind w:firstLine="480" w:firstLineChars="200"/>
        <w:rPr>
          <w:rFonts w:hint="eastAsia" w:ascii="楷体" w:hAnsi="楷体" w:eastAsia="楷体" w:cs="宋体"/>
          <w:kern w:val="0"/>
          <w:sz w:val="24"/>
        </w:rPr>
      </w:pPr>
      <w:r>
        <w:rPr>
          <w:rFonts w:hint="eastAsia" w:ascii="楷体" w:hAnsi="楷体" w:eastAsia="楷体" w:cs="宋体"/>
          <w:kern w:val="0"/>
          <w:sz w:val="24"/>
        </w:rPr>
        <w:t>（二）担任研究生会、研究生团委、研究生分会、各班委、党团支部等研究生干部，且任职必须满一年；</w:t>
      </w:r>
    </w:p>
    <w:p w14:paraId="13B73A57">
      <w:pPr>
        <w:widowControl/>
        <w:spacing w:line="300" w:lineRule="auto"/>
        <w:ind w:firstLine="480" w:firstLineChars="200"/>
        <w:rPr>
          <w:rFonts w:hint="eastAsia" w:ascii="楷体" w:hAnsi="楷体" w:eastAsia="楷体" w:cs="宋体"/>
          <w:kern w:val="0"/>
          <w:sz w:val="24"/>
        </w:rPr>
      </w:pPr>
      <w:r>
        <w:rPr>
          <w:rFonts w:hint="eastAsia" w:ascii="楷体" w:hAnsi="楷体" w:eastAsia="楷体" w:cs="宋体"/>
          <w:kern w:val="0"/>
          <w:sz w:val="24"/>
        </w:rPr>
        <w:t>（</w:t>
      </w:r>
      <w:r>
        <w:rPr>
          <w:rFonts w:hint="eastAsia" w:ascii="楷体" w:hAnsi="楷体" w:eastAsia="楷体" w:cs="宋体"/>
          <w:kern w:val="0"/>
          <w:sz w:val="24"/>
          <w:lang w:val="en-US" w:eastAsia="zh-CN"/>
        </w:rPr>
        <w:t>三</w:t>
      </w:r>
      <w:r>
        <w:rPr>
          <w:rFonts w:hint="eastAsia" w:ascii="楷体" w:hAnsi="楷体" w:eastAsia="楷体" w:cs="宋体"/>
          <w:kern w:val="0"/>
          <w:sz w:val="24"/>
        </w:rPr>
        <w:t>）工作积极主动，协作能力强，富于开拓精神，在自己负责的工作岗位上成绩显著。</w:t>
      </w:r>
    </w:p>
    <w:p w14:paraId="095FCBA1">
      <w:pPr>
        <w:widowControl/>
        <w:spacing w:line="300" w:lineRule="auto"/>
        <w:ind w:firstLine="480" w:firstLineChars="200"/>
        <w:rPr>
          <w:rFonts w:hint="default" w:ascii="楷体" w:hAnsi="楷体" w:eastAsia="楷体" w:cs="宋体"/>
          <w:kern w:val="0"/>
          <w:sz w:val="24"/>
          <w:lang w:val="en-US" w:eastAsia="zh-CN"/>
        </w:rPr>
      </w:pPr>
      <w:r>
        <w:rPr>
          <w:rFonts w:hint="eastAsia" w:ascii="楷体" w:hAnsi="楷体" w:eastAsia="楷体" w:cs="宋体"/>
          <w:kern w:val="0"/>
          <w:sz w:val="24"/>
        </w:rPr>
        <w:t>（</w:t>
      </w:r>
      <w:r>
        <w:rPr>
          <w:rFonts w:hint="eastAsia" w:ascii="楷体" w:hAnsi="楷体" w:eastAsia="楷体" w:cs="宋体"/>
          <w:kern w:val="0"/>
          <w:sz w:val="24"/>
          <w:lang w:val="en-US" w:eastAsia="zh-CN"/>
        </w:rPr>
        <w:t>四</w:t>
      </w:r>
      <w:r>
        <w:rPr>
          <w:rFonts w:hint="eastAsia" w:ascii="楷体" w:hAnsi="楷体" w:eastAsia="楷体" w:cs="宋体"/>
          <w:kern w:val="0"/>
          <w:sz w:val="24"/>
        </w:rPr>
        <w:t>）</w:t>
      </w:r>
      <w:r>
        <w:rPr>
          <w:rFonts w:hint="eastAsia" w:ascii="楷体" w:hAnsi="楷体" w:eastAsia="楷体" w:cs="宋体"/>
          <w:kern w:val="0"/>
          <w:sz w:val="24"/>
          <w:lang w:val="en-US" w:eastAsia="zh-CN"/>
        </w:rPr>
        <w:t>通过前三条条件筛选后，按照评测内容进行评分并排名，根据该排名和民主测评结合确定推荐</w:t>
      </w:r>
      <w:r>
        <w:rPr>
          <w:rFonts w:hint="eastAsia" w:ascii="楷体" w:hAnsi="楷体" w:eastAsia="楷体"/>
          <w:sz w:val="24"/>
          <w:lang w:val="en-US" w:eastAsia="zh-CN"/>
        </w:rPr>
        <w:t>优秀研究生干部</w:t>
      </w:r>
      <w:r>
        <w:rPr>
          <w:rFonts w:hint="eastAsia" w:ascii="楷体" w:hAnsi="楷体" w:eastAsia="楷体" w:cs="宋体"/>
          <w:kern w:val="0"/>
          <w:sz w:val="24"/>
          <w:lang w:val="en-US" w:eastAsia="zh-CN"/>
        </w:rPr>
        <w:t>人选。</w:t>
      </w:r>
    </w:p>
    <w:p w14:paraId="4F8ECA27">
      <w:pPr>
        <w:widowControl/>
        <w:spacing w:line="300" w:lineRule="auto"/>
        <w:ind w:firstLine="482" w:firstLineChars="200"/>
        <w:rPr>
          <w:rFonts w:ascii="楷体" w:hAnsi="楷体" w:eastAsia="楷体" w:cs="宋体"/>
          <w:kern w:val="0"/>
          <w:sz w:val="24"/>
        </w:rPr>
      </w:pPr>
      <w:r>
        <w:rPr>
          <w:rFonts w:hint="eastAsia" w:ascii="楷体" w:hAnsi="楷体" w:eastAsia="楷体" w:cs="宋体"/>
          <w:b/>
          <w:bCs/>
          <w:kern w:val="0"/>
          <w:sz w:val="24"/>
        </w:rPr>
        <w:t>四、其他说明</w:t>
      </w:r>
    </w:p>
    <w:p w14:paraId="483149BD">
      <w:pPr>
        <w:widowControl/>
        <w:spacing w:line="300" w:lineRule="auto"/>
        <w:ind w:firstLine="480" w:firstLineChars="200"/>
        <w:rPr>
          <w:rFonts w:hint="default" w:ascii="楷体" w:hAnsi="楷体" w:eastAsia="楷体" w:cs="宋体"/>
          <w:color w:val="auto"/>
          <w:kern w:val="0"/>
          <w:sz w:val="24"/>
          <w:highlight w:val="none"/>
          <w:lang w:val="en-US" w:eastAsia="zh-CN"/>
        </w:rPr>
      </w:pPr>
      <w:r>
        <w:rPr>
          <w:rFonts w:ascii="楷体" w:hAnsi="楷体" w:eastAsia="楷体" w:cs="宋体"/>
          <w:kern w:val="0"/>
          <w:sz w:val="24"/>
        </w:rPr>
        <w:t>1</w:t>
      </w:r>
      <w:r>
        <w:rPr>
          <w:rFonts w:hint="eastAsia" w:ascii="楷体" w:hAnsi="楷体" w:eastAsia="楷体" w:cs="宋体"/>
          <w:kern w:val="0"/>
          <w:sz w:val="24"/>
        </w:rPr>
        <w:t>.</w:t>
      </w:r>
      <w:r>
        <w:rPr>
          <w:rFonts w:hint="eastAsia" w:ascii="楷体" w:hAnsi="楷体" w:eastAsia="楷体" w:cs="宋体"/>
          <w:kern w:val="0"/>
          <w:sz w:val="24"/>
          <w:lang w:val="en-US" w:eastAsia="zh-CN"/>
        </w:rPr>
        <w:t>文件</w:t>
      </w:r>
      <w:r>
        <w:rPr>
          <w:rFonts w:hint="eastAsia" w:ascii="楷体" w:hAnsi="楷体" w:eastAsia="楷体" w:cs="宋体"/>
          <w:color w:val="auto"/>
          <w:kern w:val="0"/>
          <w:sz w:val="24"/>
          <w:highlight w:val="none"/>
          <w:lang w:val="en-US" w:eastAsia="zh-CN"/>
        </w:rPr>
        <w:t>实施过程中与研究生院文件冲突，以研究生院的文件为标准。</w:t>
      </w:r>
    </w:p>
    <w:p w14:paraId="4A010A00">
      <w:pPr>
        <w:widowControl/>
        <w:spacing w:line="300" w:lineRule="auto"/>
        <w:ind w:firstLine="480" w:firstLineChars="200"/>
        <w:rPr>
          <w:rFonts w:ascii="楷体" w:hAnsi="楷体" w:eastAsia="楷体" w:cs="宋体"/>
          <w:kern w:val="0"/>
          <w:sz w:val="24"/>
        </w:rPr>
      </w:pPr>
    </w:p>
    <w:p w14:paraId="7F9566B6">
      <w:pPr>
        <w:widowControl/>
        <w:spacing w:line="300" w:lineRule="auto"/>
        <w:ind w:right="960" w:firstLine="480" w:firstLineChars="200"/>
        <w:jc w:val="center"/>
        <w:rPr>
          <w:rFonts w:ascii="楷体" w:hAnsi="楷体" w:eastAsia="楷体" w:cs="宋体"/>
          <w:kern w:val="0"/>
          <w:sz w:val="24"/>
        </w:rPr>
      </w:pPr>
      <w:r>
        <w:rPr>
          <w:rFonts w:hint="eastAsia" w:ascii="楷体" w:hAnsi="楷体" w:eastAsia="楷体" w:cs="宋体"/>
          <w:kern w:val="0"/>
          <w:sz w:val="24"/>
        </w:rPr>
        <w:t xml:space="preserve"> </w:t>
      </w:r>
      <w:r>
        <w:rPr>
          <w:rFonts w:ascii="楷体" w:hAnsi="楷体" w:eastAsia="楷体" w:cs="宋体"/>
          <w:kern w:val="0"/>
          <w:sz w:val="24"/>
        </w:rPr>
        <w:t xml:space="preserve">                                                      </w:t>
      </w:r>
      <w:r>
        <w:rPr>
          <w:rFonts w:hint="eastAsia" w:ascii="楷体" w:hAnsi="楷体" w:eastAsia="楷体" w:cs="宋体"/>
          <w:kern w:val="0"/>
          <w:sz w:val="24"/>
        </w:rPr>
        <w:t>药学院</w:t>
      </w:r>
    </w:p>
    <w:p w14:paraId="6215791A">
      <w:pPr>
        <w:widowControl/>
        <w:spacing w:line="300" w:lineRule="auto"/>
        <w:ind w:right="480" w:firstLine="480" w:firstLineChars="200"/>
        <w:jc w:val="right"/>
        <w:rPr>
          <w:rFonts w:ascii="楷体" w:hAnsi="楷体" w:eastAsia="楷体" w:cs="宋体"/>
          <w:kern w:val="0"/>
          <w:sz w:val="24"/>
        </w:rPr>
      </w:pPr>
      <w:r>
        <w:rPr>
          <w:rFonts w:hint="eastAsia" w:ascii="楷体" w:hAnsi="楷体" w:eastAsia="楷体" w:cs="宋体"/>
          <w:kern w:val="0"/>
          <w:sz w:val="24"/>
        </w:rPr>
        <w:t>20</w:t>
      </w:r>
      <w:r>
        <w:rPr>
          <w:rFonts w:ascii="楷体" w:hAnsi="楷体" w:eastAsia="楷体" w:cs="宋体"/>
          <w:kern w:val="0"/>
          <w:sz w:val="24"/>
        </w:rPr>
        <w:t>2</w:t>
      </w:r>
      <w:r>
        <w:rPr>
          <w:rFonts w:hint="eastAsia" w:ascii="楷体" w:hAnsi="楷体" w:eastAsia="楷体" w:cs="宋体"/>
          <w:kern w:val="0"/>
          <w:sz w:val="24"/>
          <w:lang w:val="en-US" w:eastAsia="zh-CN"/>
        </w:rPr>
        <w:t>5</w:t>
      </w:r>
      <w:r>
        <w:rPr>
          <w:rFonts w:hint="eastAsia" w:ascii="楷体" w:hAnsi="楷体" w:eastAsia="楷体" w:cs="宋体"/>
          <w:kern w:val="0"/>
          <w:sz w:val="24"/>
        </w:rPr>
        <w:t>年</w:t>
      </w:r>
      <w:r>
        <w:rPr>
          <w:rFonts w:hint="eastAsia" w:ascii="楷体" w:hAnsi="楷体" w:eastAsia="楷体" w:cs="宋体"/>
          <w:kern w:val="0"/>
          <w:sz w:val="24"/>
          <w:lang w:val="en-US" w:eastAsia="zh-CN"/>
        </w:rPr>
        <w:t>10</w:t>
      </w:r>
      <w:r>
        <w:rPr>
          <w:rFonts w:hint="eastAsia" w:ascii="楷体" w:hAnsi="楷体" w:eastAsia="楷体" w:cs="宋体"/>
          <w:kern w:val="0"/>
          <w:sz w:val="24"/>
        </w:rPr>
        <w:t>月</w:t>
      </w:r>
      <w:r>
        <w:rPr>
          <w:rFonts w:hint="eastAsia" w:ascii="楷体" w:hAnsi="楷体" w:eastAsia="楷体" w:cs="宋体"/>
          <w:kern w:val="0"/>
          <w:sz w:val="24"/>
          <w:lang w:val="en-US" w:eastAsia="zh-CN"/>
        </w:rPr>
        <w:t>17</w:t>
      </w:r>
      <w:r>
        <w:rPr>
          <w:rFonts w:hint="eastAsia" w:ascii="楷体" w:hAnsi="楷体" w:eastAsia="楷体" w:cs="宋体"/>
          <w:kern w:val="0"/>
          <w:sz w:val="24"/>
        </w:rPr>
        <w:t>日</w:t>
      </w:r>
    </w:p>
    <w:sectPr>
      <w:footerReference r:id="rId3" w:type="default"/>
      <w:pgSz w:w="11906" w:h="16838"/>
      <w:pgMar w:top="2098" w:right="1418" w:bottom="1701"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F83A6">
    <w:pPr>
      <w:pStyle w:val="9"/>
      <w:jc w:val="right"/>
    </w:pPr>
    <w:r>
      <w:fldChar w:fldCharType="begin"/>
    </w:r>
    <w:r>
      <w:instrText xml:space="preserve"> PAGE   \* MERGEFORMAT </w:instrText>
    </w:r>
    <w:r>
      <w:fldChar w:fldCharType="separate"/>
    </w:r>
    <w:r>
      <w:rPr>
        <w:lang w:val="zh-CN"/>
      </w:rPr>
      <w:t>7</w:t>
    </w:r>
    <w:r>
      <w:fldChar w:fldCharType="end"/>
    </w:r>
  </w:p>
  <w:p w14:paraId="20E3CAE1">
    <w:pPr>
      <w:pStyle w:val="9"/>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4F1B10"/>
    <w:multiLevelType w:val="singleLevel"/>
    <w:tmpl w:val="594F1B1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EzNGY2M2JmNGQ5Mjk5NWYwYzVkYWQ5MThhOTJjNjkifQ=="/>
  </w:docVars>
  <w:rsids>
    <w:rsidRoot w:val="00EF2A28"/>
    <w:rsid w:val="00000999"/>
    <w:rsid w:val="00016B82"/>
    <w:rsid w:val="00016C60"/>
    <w:rsid w:val="00017AC4"/>
    <w:rsid w:val="00021205"/>
    <w:rsid w:val="00045607"/>
    <w:rsid w:val="00060D01"/>
    <w:rsid w:val="00067826"/>
    <w:rsid w:val="00071CC9"/>
    <w:rsid w:val="00074757"/>
    <w:rsid w:val="00075674"/>
    <w:rsid w:val="000803AD"/>
    <w:rsid w:val="00081F1E"/>
    <w:rsid w:val="00084EA8"/>
    <w:rsid w:val="000B5668"/>
    <w:rsid w:val="000B797B"/>
    <w:rsid w:val="000C371C"/>
    <w:rsid w:val="000C4075"/>
    <w:rsid w:val="000D0B55"/>
    <w:rsid w:val="000D3688"/>
    <w:rsid w:val="000D420A"/>
    <w:rsid w:val="000E5E31"/>
    <w:rsid w:val="000F69D6"/>
    <w:rsid w:val="00100AB6"/>
    <w:rsid w:val="00101100"/>
    <w:rsid w:val="00103E38"/>
    <w:rsid w:val="00113FB6"/>
    <w:rsid w:val="001246A3"/>
    <w:rsid w:val="00141ACE"/>
    <w:rsid w:val="001452AE"/>
    <w:rsid w:val="0016039C"/>
    <w:rsid w:val="001643DE"/>
    <w:rsid w:val="0016715F"/>
    <w:rsid w:val="001A48A0"/>
    <w:rsid w:val="001B031E"/>
    <w:rsid w:val="001B0759"/>
    <w:rsid w:val="001B7731"/>
    <w:rsid w:val="001C66E0"/>
    <w:rsid w:val="001D3D3C"/>
    <w:rsid w:val="001E0347"/>
    <w:rsid w:val="001F4422"/>
    <w:rsid w:val="001F5506"/>
    <w:rsid w:val="001F58E8"/>
    <w:rsid w:val="00201714"/>
    <w:rsid w:val="00203136"/>
    <w:rsid w:val="00204311"/>
    <w:rsid w:val="00224504"/>
    <w:rsid w:val="00225167"/>
    <w:rsid w:val="00226711"/>
    <w:rsid w:val="00227007"/>
    <w:rsid w:val="00227813"/>
    <w:rsid w:val="00232768"/>
    <w:rsid w:val="002350FB"/>
    <w:rsid w:val="00247444"/>
    <w:rsid w:val="002527D1"/>
    <w:rsid w:val="00261011"/>
    <w:rsid w:val="00261D1E"/>
    <w:rsid w:val="00263D71"/>
    <w:rsid w:val="00264E69"/>
    <w:rsid w:val="002769CD"/>
    <w:rsid w:val="00277CD7"/>
    <w:rsid w:val="00281275"/>
    <w:rsid w:val="00293200"/>
    <w:rsid w:val="002B7AE9"/>
    <w:rsid w:val="002C1112"/>
    <w:rsid w:val="002C1A3E"/>
    <w:rsid w:val="002D533F"/>
    <w:rsid w:val="002D59ED"/>
    <w:rsid w:val="002E3333"/>
    <w:rsid w:val="002F3030"/>
    <w:rsid w:val="002F42C2"/>
    <w:rsid w:val="00302E89"/>
    <w:rsid w:val="00303478"/>
    <w:rsid w:val="00314495"/>
    <w:rsid w:val="003216A9"/>
    <w:rsid w:val="003240F3"/>
    <w:rsid w:val="003244B5"/>
    <w:rsid w:val="003422E9"/>
    <w:rsid w:val="00344867"/>
    <w:rsid w:val="0034553A"/>
    <w:rsid w:val="00353002"/>
    <w:rsid w:val="00353DF7"/>
    <w:rsid w:val="003729CF"/>
    <w:rsid w:val="00373078"/>
    <w:rsid w:val="003757C8"/>
    <w:rsid w:val="0038090E"/>
    <w:rsid w:val="00380A76"/>
    <w:rsid w:val="003826D5"/>
    <w:rsid w:val="00386F94"/>
    <w:rsid w:val="00391CB9"/>
    <w:rsid w:val="003A677F"/>
    <w:rsid w:val="003A7AB0"/>
    <w:rsid w:val="003D7347"/>
    <w:rsid w:val="003E0CD4"/>
    <w:rsid w:val="003E19EB"/>
    <w:rsid w:val="003E1B49"/>
    <w:rsid w:val="003E2345"/>
    <w:rsid w:val="003F0B3C"/>
    <w:rsid w:val="003F4E61"/>
    <w:rsid w:val="004041A5"/>
    <w:rsid w:val="0042102D"/>
    <w:rsid w:val="00425AEF"/>
    <w:rsid w:val="00425D68"/>
    <w:rsid w:val="004317CA"/>
    <w:rsid w:val="00432586"/>
    <w:rsid w:val="0043519D"/>
    <w:rsid w:val="00441527"/>
    <w:rsid w:val="0044502F"/>
    <w:rsid w:val="0045170D"/>
    <w:rsid w:val="00454D68"/>
    <w:rsid w:val="00454F59"/>
    <w:rsid w:val="0046061F"/>
    <w:rsid w:val="004826BA"/>
    <w:rsid w:val="00483EB2"/>
    <w:rsid w:val="00484AF4"/>
    <w:rsid w:val="00490A04"/>
    <w:rsid w:val="00491840"/>
    <w:rsid w:val="004929AD"/>
    <w:rsid w:val="004943F2"/>
    <w:rsid w:val="004B76E5"/>
    <w:rsid w:val="004C309B"/>
    <w:rsid w:val="004E290B"/>
    <w:rsid w:val="004F2E4E"/>
    <w:rsid w:val="00505B43"/>
    <w:rsid w:val="00505BF7"/>
    <w:rsid w:val="00517E02"/>
    <w:rsid w:val="005228D5"/>
    <w:rsid w:val="00522E00"/>
    <w:rsid w:val="005238BF"/>
    <w:rsid w:val="00535B4F"/>
    <w:rsid w:val="005424C9"/>
    <w:rsid w:val="00545214"/>
    <w:rsid w:val="005501B8"/>
    <w:rsid w:val="00556EC1"/>
    <w:rsid w:val="00571A07"/>
    <w:rsid w:val="00571C5D"/>
    <w:rsid w:val="00575653"/>
    <w:rsid w:val="00575B3A"/>
    <w:rsid w:val="00595832"/>
    <w:rsid w:val="00597D4C"/>
    <w:rsid w:val="005A05F0"/>
    <w:rsid w:val="005A4D60"/>
    <w:rsid w:val="005B0D55"/>
    <w:rsid w:val="005B190D"/>
    <w:rsid w:val="005C217A"/>
    <w:rsid w:val="005D1BC3"/>
    <w:rsid w:val="005D1CC1"/>
    <w:rsid w:val="005D262F"/>
    <w:rsid w:val="005D6C6A"/>
    <w:rsid w:val="005E3762"/>
    <w:rsid w:val="005E376E"/>
    <w:rsid w:val="005F6AB8"/>
    <w:rsid w:val="00630D7A"/>
    <w:rsid w:val="006352D7"/>
    <w:rsid w:val="00657631"/>
    <w:rsid w:val="006603BA"/>
    <w:rsid w:val="00671AFD"/>
    <w:rsid w:val="00677D20"/>
    <w:rsid w:val="00682F99"/>
    <w:rsid w:val="00683063"/>
    <w:rsid w:val="00683791"/>
    <w:rsid w:val="00684872"/>
    <w:rsid w:val="00684891"/>
    <w:rsid w:val="00687759"/>
    <w:rsid w:val="006A2968"/>
    <w:rsid w:val="006A7340"/>
    <w:rsid w:val="006B4B06"/>
    <w:rsid w:val="006C003A"/>
    <w:rsid w:val="006C1BDA"/>
    <w:rsid w:val="006D3AE9"/>
    <w:rsid w:val="006D509B"/>
    <w:rsid w:val="006D7B55"/>
    <w:rsid w:val="006E0FB1"/>
    <w:rsid w:val="006E1EAE"/>
    <w:rsid w:val="006E3A73"/>
    <w:rsid w:val="006E7B2D"/>
    <w:rsid w:val="006F4DD5"/>
    <w:rsid w:val="00705EDC"/>
    <w:rsid w:val="0071535D"/>
    <w:rsid w:val="00723754"/>
    <w:rsid w:val="0072488B"/>
    <w:rsid w:val="0072596D"/>
    <w:rsid w:val="007259BC"/>
    <w:rsid w:val="007421CA"/>
    <w:rsid w:val="00744169"/>
    <w:rsid w:val="007443A6"/>
    <w:rsid w:val="00750632"/>
    <w:rsid w:val="00751939"/>
    <w:rsid w:val="00764EE1"/>
    <w:rsid w:val="00775724"/>
    <w:rsid w:val="007A39F0"/>
    <w:rsid w:val="007A5CA0"/>
    <w:rsid w:val="007A77EB"/>
    <w:rsid w:val="007A7A26"/>
    <w:rsid w:val="007B0FB8"/>
    <w:rsid w:val="007B59D1"/>
    <w:rsid w:val="007C7A27"/>
    <w:rsid w:val="007D1700"/>
    <w:rsid w:val="007D4D8A"/>
    <w:rsid w:val="007E11E3"/>
    <w:rsid w:val="007E1F71"/>
    <w:rsid w:val="007E665B"/>
    <w:rsid w:val="007E779B"/>
    <w:rsid w:val="007F129E"/>
    <w:rsid w:val="00814061"/>
    <w:rsid w:val="00824977"/>
    <w:rsid w:val="00830FF7"/>
    <w:rsid w:val="008336F4"/>
    <w:rsid w:val="00841B03"/>
    <w:rsid w:val="00842FE8"/>
    <w:rsid w:val="00844E41"/>
    <w:rsid w:val="0085218E"/>
    <w:rsid w:val="0086701E"/>
    <w:rsid w:val="0086765D"/>
    <w:rsid w:val="00875AF7"/>
    <w:rsid w:val="00881F04"/>
    <w:rsid w:val="00893740"/>
    <w:rsid w:val="00894B5C"/>
    <w:rsid w:val="0089523B"/>
    <w:rsid w:val="008B07E7"/>
    <w:rsid w:val="008B7942"/>
    <w:rsid w:val="008C27B3"/>
    <w:rsid w:val="008D03A7"/>
    <w:rsid w:val="008D60EF"/>
    <w:rsid w:val="008D7DD6"/>
    <w:rsid w:val="008F7616"/>
    <w:rsid w:val="0090598B"/>
    <w:rsid w:val="0091069A"/>
    <w:rsid w:val="00912D2B"/>
    <w:rsid w:val="00912D37"/>
    <w:rsid w:val="00921EB7"/>
    <w:rsid w:val="00933242"/>
    <w:rsid w:val="00935B0E"/>
    <w:rsid w:val="009365B4"/>
    <w:rsid w:val="00957E58"/>
    <w:rsid w:val="00971891"/>
    <w:rsid w:val="00974DFD"/>
    <w:rsid w:val="00983C28"/>
    <w:rsid w:val="00983D12"/>
    <w:rsid w:val="00986325"/>
    <w:rsid w:val="0098705F"/>
    <w:rsid w:val="00990148"/>
    <w:rsid w:val="00992346"/>
    <w:rsid w:val="009B25FD"/>
    <w:rsid w:val="009B357F"/>
    <w:rsid w:val="009C2C87"/>
    <w:rsid w:val="009C7602"/>
    <w:rsid w:val="009D3002"/>
    <w:rsid w:val="009E087B"/>
    <w:rsid w:val="009F271C"/>
    <w:rsid w:val="00A05E98"/>
    <w:rsid w:val="00A17D44"/>
    <w:rsid w:val="00A21E6E"/>
    <w:rsid w:val="00A230DA"/>
    <w:rsid w:val="00A2764D"/>
    <w:rsid w:val="00A30B02"/>
    <w:rsid w:val="00A312AC"/>
    <w:rsid w:val="00A33AEF"/>
    <w:rsid w:val="00A363F0"/>
    <w:rsid w:val="00A3692B"/>
    <w:rsid w:val="00A526E8"/>
    <w:rsid w:val="00A54BC6"/>
    <w:rsid w:val="00A6259B"/>
    <w:rsid w:val="00A62A57"/>
    <w:rsid w:val="00A713C7"/>
    <w:rsid w:val="00A71FB1"/>
    <w:rsid w:val="00A75471"/>
    <w:rsid w:val="00A8433E"/>
    <w:rsid w:val="00A925FB"/>
    <w:rsid w:val="00A96E56"/>
    <w:rsid w:val="00AA24C2"/>
    <w:rsid w:val="00AA7CB7"/>
    <w:rsid w:val="00AB5EB2"/>
    <w:rsid w:val="00AD03A9"/>
    <w:rsid w:val="00AE0859"/>
    <w:rsid w:val="00AE365B"/>
    <w:rsid w:val="00AF5C5C"/>
    <w:rsid w:val="00AF6B3F"/>
    <w:rsid w:val="00AF755A"/>
    <w:rsid w:val="00B00BD6"/>
    <w:rsid w:val="00B01897"/>
    <w:rsid w:val="00B07214"/>
    <w:rsid w:val="00B1525F"/>
    <w:rsid w:val="00B170F3"/>
    <w:rsid w:val="00B24F8A"/>
    <w:rsid w:val="00B31F63"/>
    <w:rsid w:val="00B33A59"/>
    <w:rsid w:val="00B43CD4"/>
    <w:rsid w:val="00B52CC8"/>
    <w:rsid w:val="00B6326B"/>
    <w:rsid w:val="00B74B95"/>
    <w:rsid w:val="00B77641"/>
    <w:rsid w:val="00B8261E"/>
    <w:rsid w:val="00B82DD1"/>
    <w:rsid w:val="00B873E8"/>
    <w:rsid w:val="00B92164"/>
    <w:rsid w:val="00B960C6"/>
    <w:rsid w:val="00B9688C"/>
    <w:rsid w:val="00BA3A89"/>
    <w:rsid w:val="00BB0B84"/>
    <w:rsid w:val="00BB1BAE"/>
    <w:rsid w:val="00BB4898"/>
    <w:rsid w:val="00BB796E"/>
    <w:rsid w:val="00BC5B65"/>
    <w:rsid w:val="00BF27B7"/>
    <w:rsid w:val="00BF4403"/>
    <w:rsid w:val="00BF5810"/>
    <w:rsid w:val="00C05E98"/>
    <w:rsid w:val="00C1106C"/>
    <w:rsid w:val="00C22EEC"/>
    <w:rsid w:val="00C24B15"/>
    <w:rsid w:val="00C271B5"/>
    <w:rsid w:val="00C31100"/>
    <w:rsid w:val="00C35A07"/>
    <w:rsid w:val="00C514D2"/>
    <w:rsid w:val="00C60D17"/>
    <w:rsid w:val="00C776D4"/>
    <w:rsid w:val="00C841BF"/>
    <w:rsid w:val="00C912A5"/>
    <w:rsid w:val="00C955AE"/>
    <w:rsid w:val="00CB1DAF"/>
    <w:rsid w:val="00CB5735"/>
    <w:rsid w:val="00CC1D56"/>
    <w:rsid w:val="00CC6021"/>
    <w:rsid w:val="00CC7F7D"/>
    <w:rsid w:val="00CD1002"/>
    <w:rsid w:val="00CE0195"/>
    <w:rsid w:val="00CF072D"/>
    <w:rsid w:val="00CF76D4"/>
    <w:rsid w:val="00D13722"/>
    <w:rsid w:val="00D23A3C"/>
    <w:rsid w:val="00D3319C"/>
    <w:rsid w:val="00D33403"/>
    <w:rsid w:val="00D418B5"/>
    <w:rsid w:val="00D45450"/>
    <w:rsid w:val="00D52FFD"/>
    <w:rsid w:val="00D54C9B"/>
    <w:rsid w:val="00D73F1A"/>
    <w:rsid w:val="00D90E98"/>
    <w:rsid w:val="00DC6C8F"/>
    <w:rsid w:val="00DD06B1"/>
    <w:rsid w:val="00DD0B4E"/>
    <w:rsid w:val="00DD16A5"/>
    <w:rsid w:val="00DD351F"/>
    <w:rsid w:val="00DD402A"/>
    <w:rsid w:val="00DD5580"/>
    <w:rsid w:val="00DF0F68"/>
    <w:rsid w:val="00E10476"/>
    <w:rsid w:val="00E10B2C"/>
    <w:rsid w:val="00E12BC4"/>
    <w:rsid w:val="00E276E8"/>
    <w:rsid w:val="00E3464F"/>
    <w:rsid w:val="00E402CE"/>
    <w:rsid w:val="00E5074B"/>
    <w:rsid w:val="00E62772"/>
    <w:rsid w:val="00E62A92"/>
    <w:rsid w:val="00E654C4"/>
    <w:rsid w:val="00E70D19"/>
    <w:rsid w:val="00E73F4E"/>
    <w:rsid w:val="00E82B07"/>
    <w:rsid w:val="00E84431"/>
    <w:rsid w:val="00E93F42"/>
    <w:rsid w:val="00E95EB2"/>
    <w:rsid w:val="00EA0419"/>
    <w:rsid w:val="00EA3F6B"/>
    <w:rsid w:val="00EA5D98"/>
    <w:rsid w:val="00EB559F"/>
    <w:rsid w:val="00EB7F9A"/>
    <w:rsid w:val="00EC189D"/>
    <w:rsid w:val="00ED531C"/>
    <w:rsid w:val="00EE0944"/>
    <w:rsid w:val="00EE78A1"/>
    <w:rsid w:val="00EF25D0"/>
    <w:rsid w:val="00EF2A28"/>
    <w:rsid w:val="00EF2CA0"/>
    <w:rsid w:val="00EF6071"/>
    <w:rsid w:val="00F105F3"/>
    <w:rsid w:val="00F14BF7"/>
    <w:rsid w:val="00F227A2"/>
    <w:rsid w:val="00F41303"/>
    <w:rsid w:val="00F41E53"/>
    <w:rsid w:val="00F44D45"/>
    <w:rsid w:val="00F51E95"/>
    <w:rsid w:val="00F55AE6"/>
    <w:rsid w:val="00F60DA4"/>
    <w:rsid w:val="00F7325D"/>
    <w:rsid w:val="00F7771E"/>
    <w:rsid w:val="00F82617"/>
    <w:rsid w:val="00F93DDD"/>
    <w:rsid w:val="00F95D5A"/>
    <w:rsid w:val="00FA305A"/>
    <w:rsid w:val="00FA5F2C"/>
    <w:rsid w:val="00FA67D9"/>
    <w:rsid w:val="00FB7A39"/>
    <w:rsid w:val="00FD631E"/>
    <w:rsid w:val="00FE06DD"/>
    <w:rsid w:val="00FE15CD"/>
    <w:rsid w:val="00FF16B2"/>
    <w:rsid w:val="00FF25D2"/>
    <w:rsid w:val="01D267D3"/>
    <w:rsid w:val="01DB7ED5"/>
    <w:rsid w:val="0284231A"/>
    <w:rsid w:val="02F21368"/>
    <w:rsid w:val="02F34841"/>
    <w:rsid w:val="02F93056"/>
    <w:rsid w:val="03084CFA"/>
    <w:rsid w:val="031C02BE"/>
    <w:rsid w:val="03351867"/>
    <w:rsid w:val="03631E97"/>
    <w:rsid w:val="042A6EF2"/>
    <w:rsid w:val="054933A7"/>
    <w:rsid w:val="056E1105"/>
    <w:rsid w:val="059A3C03"/>
    <w:rsid w:val="06147E59"/>
    <w:rsid w:val="06EB2968"/>
    <w:rsid w:val="070C28DE"/>
    <w:rsid w:val="078D3A1F"/>
    <w:rsid w:val="081163FE"/>
    <w:rsid w:val="094E71DE"/>
    <w:rsid w:val="0A2F7010"/>
    <w:rsid w:val="0AAF1EFF"/>
    <w:rsid w:val="0BE502CE"/>
    <w:rsid w:val="0C9413AC"/>
    <w:rsid w:val="0D761803"/>
    <w:rsid w:val="0E1C5AFD"/>
    <w:rsid w:val="0E722421"/>
    <w:rsid w:val="0EAF071F"/>
    <w:rsid w:val="0EBE0962"/>
    <w:rsid w:val="108D4A90"/>
    <w:rsid w:val="109C0F4B"/>
    <w:rsid w:val="10E072B6"/>
    <w:rsid w:val="12C237D3"/>
    <w:rsid w:val="12D76496"/>
    <w:rsid w:val="12DC01BC"/>
    <w:rsid w:val="132A664C"/>
    <w:rsid w:val="13427DB4"/>
    <w:rsid w:val="13C94031"/>
    <w:rsid w:val="1441006B"/>
    <w:rsid w:val="15B45319"/>
    <w:rsid w:val="169E79F7"/>
    <w:rsid w:val="17FF2717"/>
    <w:rsid w:val="183A72AB"/>
    <w:rsid w:val="189D0C7D"/>
    <w:rsid w:val="18A6584F"/>
    <w:rsid w:val="18F90F15"/>
    <w:rsid w:val="195D7578"/>
    <w:rsid w:val="1A0C70B0"/>
    <w:rsid w:val="1A172150"/>
    <w:rsid w:val="1A864A2A"/>
    <w:rsid w:val="1B530684"/>
    <w:rsid w:val="1D161D2E"/>
    <w:rsid w:val="1D4B401E"/>
    <w:rsid w:val="1D8F0099"/>
    <w:rsid w:val="1DDC2C05"/>
    <w:rsid w:val="1DF779ED"/>
    <w:rsid w:val="1ECF02CA"/>
    <w:rsid w:val="1FDC50EC"/>
    <w:rsid w:val="1FF266BE"/>
    <w:rsid w:val="20120B0E"/>
    <w:rsid w:val="201D5944"/>
    <w:rsid w:val="20C71543"/>
    <w:rsid w:val="20D27C6C"/>
    <w:rsid w:val="20D83B05"/>
    <w:rsid w:val="21AE002E"/>
    <w:rsid w:val="246C72D2"/>
    <w:rsid w:val="24B93C4E"/>
    <w:rsid w:val="24E714B2"/>
    <w:rsid w:val="250A36F7"/>
    <w:rsid w:val="255676EF"/>
    <w:rsid w:val="25B83F05"/>
    <w:rsid w:val="260333D3"/>
    <w:rsid w:val="265F5648"/>
    <w:rsid w:val="26B219DC"/>
    <w:rsid w:val="27550611"/>
    <w:rsid w:val="27DC037F"/>
    <w:rsid w:val="27EC60E8"/>
    <w:rsid w:val="284E28FF"/>
    <w:rsid w:val="285C6C13"/>
    <w:rsid w:val="28AF15F0"/>
    <w:rsid w:val="29430F3E"/>
    <w:rsid w:val="29FC0E58"/>
    <w:rsid w:val="2A1D6A2D"/>
    <w:rsid w:val="2A314286"/>
    <w:rsid w:val="2A930A9D"/>
    <w:rsid w:val="2AB90504"/>
    <w:rsid w:val="2AC1560A"/>
    <w:rsid w:val="2B3B53BD"/>
    <w:rsid w:val="2B7A1BDF"/>
    <w:rsid w:val="2B7D3C27"/>
    <w:rsid w:val="2C057779"/>
    <w:rsid w:val="2C2045B2"/>
    <w:rsid w:val="2CC36CA8"/>
    <w:rsid w:val="2CF577ED"/>
    <w:rsid w:val="2D8D6864"/>
    <w:rsid w:val="2E0E6DB8"/>
    <w:rsid w:val="2EE90DA5"/>
    <w:rsid w:val="30281C88"/>
    <w:rsid w:val="304C3BC8"/>
    <w:rsid w:val="30EC32E4"/>
    <w:rsid w:val="31AA6DF8"/>
    <w:rsid w:val="32112EEC"/>
    <w:rsid w:val="325925CC"/>
    <w:rsid w:val="32877139"/>
    <w:rsid w:val="32BD0DAD"/>
    <w:rsid w:val="333D5A4A"/>
    <w:rsid w:val="33800A89"/>
    <w:rsid w:val="33AA1331"/>
    <w:rsid w:val="34BB22D5"/>
    <w:rsid w:val="35B21912"/>
    <w:rsid w:val="35B25B99"/>
    <w:rsid w:val="36160F00"/>
    <w:rsid w:val="36494110"/>
    <w:rsid w:val="36E7289C"/>
    <w:rsid w:val="36F9612C"/>
    <w:rsid w:val="37021484"/>
    <w:rsid w:val="372918ED"/>
    <w:rsid w:val="37465815"/>
    <w:rsid w:val="379245B6"/>
    <w:rsid w:val="38593326"/>
    <w:rsid w:val="388C0E59"/>
    <w:rsid w:val="38B844F1"/>
    <w:rsid w:val="38F4304F"/>
    <w:rsid w:val="39FA4695"/>
    <w:rsid w:val="3A3000B7"/>
    <w:rsid w:val="3BB43A35"/>
    <w:rsid w:val="3BDA652C"/>
    <w:rsid w:val="3C6F4D2D"/>
    <w:rsid w:val="3C833B0A"/>
    <w:rsid w:val="3D121CF5"/>
    <w:rsid w:val="3D3D7D88"/>
    <w:rsid w:val="3D600CB3"/>
    <w:rsid w:val="3D6235D0"/>
    <w:rsid w:val="3D69245B"/>
    <w:rsid w:val="3DBA6615"/>
    <w:rsid w:val="3E1C5DBD"/>
    <w:rsid w:val="3F3B6B46"/>
    <w:rsid w:val="405B1795"/>
    <w:rsid w:val="40C854ED"/>
    <w:rsid w:val="41252B76"/>
    <w:rsid w:val="41AE6491"/>
    <w:rsid w:val="44F81CBA"/>
    <w:rsid w:val="45154A79"/>
    <w:rsid w:val="45230F44"/>
    <w:rsid w:val="45641C2D"/>
    <w:rsid w:val="45CC3389"/>
    <w:rsid w:val="45F76DD6"/>
    <w:rsid w:val="45FB5A1D"/>
    <w:rsid w:val="464F5D68"/>
    <w:rsid w:val="46AC4F69"/>
    <w:rsid w:val="46B02CAB"/>
    <w:rsid w:val="46D51DCC"/>
    <w:rsid w:val="46E91D19"/>
    <w:rsid w:val="46FD57C4"/>
    <w:rsid w:val="47647DA4"/>
    <w:rsid w:val="47CA62FA"/>
    <w:rsid w:val="481A371E"/>
    <w:rsid w:val="487A5172"/>
    <w:rsid w:val="495C67D2"/>
    <w:rsid w:val="49A60C0A"/>
    <w:rsid w:val="4A2D63C1"/>
    <w:rsid w:val="4A2F5ACC"/>
    <w:rsid w:val="4A4060F4"/>
    <w:rsid w:val="4BCF5981"/>
    <w:rsid w:val="4C77055A"/>
    <w:rsid w:val="4CBB7CB4"/>
    <w:rsid w:val="4CFE5DF2"/>
    <w:rsid w:val="4CFF4C53"/>
    <w:rsid w:val="4D0C1F1E"/>
    <w:rsid w:val="4D680CE9"/>
    <w:rsid w:val="4D8207D1"/>
    <w:rsid w:val="4DEB6377"/>
    <w:rsid w:val="4EB64BD7"/>
    <w:rsid w:val="4F8E2FC5"/>
    <w:rsid w:val="4FDC1B47"/>
    <w:rsid w:val="4FED2A48"/>
    <w:rsid w:val="4FFC0D0F"/>
    <w:rsid w:val="508B3E41"/>
    <w:rsid w:val="508D39AF"/>
    <w:rsid w:val="51954F77"/>
    <w:rsid w:val="51A11B6E"/>
    <w:rsid w:val="51E87B0D"/>
    <w:rsid w:val="521D6718"/>
    <w:rsid w:val="523D116B"/>
    <w:rsid w:val="52D813A0"/>
    <w:rsid w:val="536270DB"/>
    <w:rsid w:val="53964FD7"/>
    <w:rsid w:val="53E61ABA"/>
    <w:rsid w:val="543A17D0"/>
    <w:rsid w:val="54A86D6F"/>
    <w:rsid w:val="54C53DC5"/>
    <w:rsid w:val="55A06F8B"/>
    <w:rsid w:val="56FF2E93"/>
    <w:rsid w:val="57806CFD"/>
    <w:rsid w:val="57EA769F"/>
    <w:rsid w:val="58E56ABE"/>
    <w:rsid w:val="592D018B"/>
    <w:rsid w:val="59DF6954"/>
    <w:rsid w:val="5A032C9A"/>
    <w:rsid w:val="5A3F4FAA"/>
    <w:rsid w:val="5ADD173D"/>
    <w:rsid w:val="5B5D6BFC"/>
    <w:rsid w:val="5B8609D0"/>
    <w:rsid w:val="5B8B1199"/>
    <w:rsid w:val="5BC16894"/>
    <w:rsid w:val="5C6914DA"/>
    <w:rsid w:val="5CE60BD2"/>
    <w:rsid w:val="5DE15C7D"/>
    <w:rsid w:val="5EEB5A2A"/>
    <w:rsid w:val="5F1F2324"/>
    <w:rsid w:val="5F2711D9"/>
    <w:rsid w:val="603E4A2C"/>
    <w:rsid w:val="60B30F76"/>
    <w:rsid w:val="61231EBF"/>
    <w:rsid w:val="61561AD0"/>
    <w:rsid w:val="616E30EF"/>
    <w:rsid w:val="618C17C7"/>
    <w:rsid w:val="61CD250B"/>
    <w:rsid w:val="61E4756A"/>
    <w:rsid w:val="632E0D88"/>
    <w:rsid w:val="63534C92"/>
    <w:rsid w:val="63BD3EBA"/>
    <w:rsid w:val="653463FD"/>
    <w:rsid w:val="653D3504"/>
    <w:rsid w:val="656E5DB3"/>
    <w:rsid w:val="661C580F"/>
    <w:rsid w:val="68112A26"/>
    <w:rsid w:val="681A78FB"/>
    <w:rsid w:val="697414BE"/>
    <w:rsid w:val="6977625C"/>
    <w:rsid w:val="69C45FA2"/>
    <w:rsid w:val="6A3A3496"/>
    <w:rsid w:val="6A3A6264"/>
    <w:rsid w:val="6B3C3692"/>
    <w:rsid w:val="6B4844BF"/>
    <w:rsid w:val="6C67530A"/>
    <w:rsid w:val="6DA265FA"/>
    <w:rsid w:val="6DF1132F"/>
    <w:rsid w:val="6DF130DE"/>
    <w:rsid w:val="6E761835"/>
    <w:rsid w:val="6F71799A"/>
    <w:rsid w:val="71B2527A"/>
    <w:rsid w:val="71C50B09"/>
    <w:rsid w:val="71EE3A23"/>
    <w:rsid w:val="722515A8"/>
    <w:rsid w:val="72FB731A"/>
    <w:rsid w:val="736774CD"/>
    <w:rsid w:val="738A3774"/>
    <w:rsid w:val="746C5880"/>
    <w:rsid w:val="746E6A81"/>
    <w:rsid w:val="74E941CB"/>
    <w:rsid w:val="750018DF"/>
    <w:rsid w:val="751D0C5C"/>
    <w:rsid w:val="759557A6"/>
    <w:rsid w:val="759A3FA0"/>
    <w:rsid w:val="766052A4"/>
    <w:rsid w:val="77672662"/>
    <w:rsid w:val="77AB254F"/>
    <w:rsid w:val="784C1F84"/>
    <w:rsid w:val="78B31819"/>
    <w:rsid w:val="79052133"/>
    <w:rsid w:val="79870D9A"/>
    <w:rsid w:val="79B0209F"/>
    <w:rsid w:val="79E166FC"/>
    <w:rsid w:val="79E65AC0"/>
    <w:rsid w:val="7AFB559C"/>
    <w:rsid w:val="7B14665D"/>
    <w:rsid w:val="7B2745E3"/>
    <w:rsid w:val="7B3D6DF4"/>
    <w:rsid w:val="7B6C6499"/>
    <w:rsid w:val="7B8437E3"/>
    <w:rsid w:val="7BBA3EC1"/>
    <w:rsid w:val="7BD77DB7"/>
    <w:rsid w:val="7BF00E78"/>
    <w:rsid w:val="7C7B2E38"/>
    <w:rsid w:val="7CE3278B"/>
    <w:rsid w:val="7D562F5D"/>
    <w:rsid w:val="7D6351F7"/>
    <w:rsid w:val="7D776F5D"/>
    <w:rsid w:val="7D9A4169"/>
    <w:rsid w:val="7E855DA6"/>
    <w:rsid w:val="7EA74CF5"/>
    <w:rsid w:val="7F511C2E"/>
    <w:rsid w:val="7F6A7194"/>
    <w:rsid w:val="7F89761A"/>
    <w:rsid w:val="7FA30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jc w:val="center"/>
      <w:outlineLvl w:val="0"/>
    </w:pPr>
    <w:rPr>
      <w:rFonts w:eastAsia="黑体" w:cs="Calibri"/>
      <w:bCs/>
      <w:kern w:val="44"/>
      <w:sz w:val="36"/>
      <w:szCs w:val="44"/>
    </w:rPr>
  </w:style>
  <w:style w:type="paragraph" w:styleId="3">
    <w:name w:val="heading 2"/>
    <w:basedOn w:val="1"/>
    <w:next w:val="1"/>
    <w:link w:val="18"/>
    <w:unhideWhenUsed/>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2"/>
    <w:qFormat/>
    <w:uiPriority w:val="0"/>
    <w:pPr>
      <w:jc w:val="left"/>
    </w:pPr>
  </w:style>
  <w:style w:type="paragraph" w:styleId="5">
    <w:name w:val="Body Text"/>
    <w:basedOn w:val="1"/>
    <w:link w:val="20"/>
    <w:qFormat/>
    <w:uiPriority w:val="0"/>
    <w:pPr>
      <w:spacing w:after="120"/>
    </w:pPr>
  </w:style>
  <w:style w:type="paragraph" w:styleId="6">
    <w:name w:val="Body Text Indent"/>
    <w:basedOn w:val="1"/>
    <w:link w:val="21"/>
    <w:qFormat/>
    <w:uiPriority w:val="0"/>
    <w:pPr>
      <w:spacing w:line="560" w:lineRule="exact"/>
      <w:ind w:firstLine="540"/>
    </w:pPr>
    <w:rPr>
      <w:rFonts w:ascii="仿宋_GB2312" w:eastAsia="仿宋_GB2312"/>
      <w:sz w:val="28"/>
    </w:rPr>
  </w:style>
  <w:style w:type="paragraph" w:styleId="7">
    <w:name w:val="Date"/>
    <w:basedOn w:val="1"/>
    <w:next w:val="1"/>
    <w:link w:val="26"/>
    <w:qFormat/>
    <w:uiPriority w:val="0"/>
    <w:pPr>
      <w:ind w:left="100" w:leftChars="2500"/>
    </w:pPr>
  </w:style>
  <w:style w:type="paragraph" w:styleId="8">
    <w:name w:val="Balloon Text"/>
    <w:basedOn w:val="1"/>
    <w:link w:val="25"/>
    <w:qFormat/>
    <w:uiPriority w:val="0"/>
    <w:rPr>
      <w:sz w:val="18"/>
      <w:szCs w:val="18"/>
    </w:rPr>
  </w:style>
  <w:style w:type="paragraph" w:styleId="9">
    <w:name w:val="footer"/>
    <w:basedOn w:val="1"/>
    <w:link w:val="24"/>
    <w:qFormat/>
    <w:uiPriority w:val="0"/>
    <w:pPr>
      <w:tabs>
        <w:tab w:val="center" w:pos="4153"/>
        <w:tab w:val="right" w:pos="8306"/>
      </w:tabs>
      <w:snapToGrid w:val="0"/>
      <w:jc w:val="left"/>
    </w:pPr>
    <w:rPr>
      <w:sz w:val="18"/>
      <w:szCs w:val="18"/>
    </w:rPr>
  </w:style>
  <w:style w:type="paragraph" w:styleId="10">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rFonts w:ascii="Times New Roman" w:hAnsi="Times New Roman" w:eastAsia="宋体" w:cs="Times New Roman"/>
      <w:b/>
      <w:bCs/>
    </w:rPr>
  </w:style>
  <w:style w:type="character" w:styleId="16">
    <w:name w:val="page number"/>
    <w:basedOn w:val="14"/>
    <w:qFormat/>
    <w:uiPriority w:val="0"/>
    <w:rPr>
      <w:rFonts w:ascii="Times New Roman" w:hAnsi="Times New Roman" w:eastAsia="宋体" w:cs="Times New Roman"/>
    </w:rPr>
  </w:style>
  <w:style w:type="paragraph" w:customStyle="1" w:styleId="17">
    <w:name w:val="Char Char"/>
    <w:qFormat/>
    <w:uiPriority w:val="0"/>
    <w:pPr>
      <w:widowControl w:val="0"/>
      <w:spacing w:line="300" w:lineRule="auto"/>
      <w:ind w:firstLine="480" w:firstLineChars="200"/>
      <w:jc w:val="both"/>
    </w:pPr>
    <w:rPr>
      <w:rFonts w:ascii="Times New Roman" w:hAnsi="Times New Roman" w:eastAsia="仿宋_GB2312" w:cs="Times New Roman"/>
      <w:kern w:val="2"/>
      <w:sz w:val="24"/>
      <w:szCs w:val="24"/>
      <w:lang w:val="en-US" w:eastAsia="zh-CN" w:bidi="ar-SA"/>
    </w:rPr>
  </w:style>
  <w:style w:type="character" w:customStyle="1" w:styleId="18">
    <w:name w:val="标题 2 字符"/>
    <w:basedOn w:val="14"/>
    <w:link w:val="3"/>
    <w:qFormat/>
    <w:uiPriority w:val="0"/>
    <w:rPr>
      <w:rFonts w:ascii="Arial" w:hAnsi="Arial" w:eastAsia="黑体" w:cs="Times New Roman"/>
      <w:b/>
      <w:bCs/>
      <w:kern w:val="2"/>
      <w:sz w:val="32"/>
      <w:szCs w:val="32"/>
    </w:rPr>
  </w:style>
  <w:style w:type="character" w:customStyle="1" w:styleId="19">
    <w:name w:val="char1"/>
    <w:qFormat/>
    <w:uiPriority w:val="0"/>
    <w:rPr>
      <w:rFonts w:ascii="Times New Roman" w:hAnsi="Times New Roman" w:eastAsia="宋体" w:cs="Times New Roman"/>
      <w:color w:val="165B9E"/>
      <w:sz w:val="18"/>
      <w:szCs w:val="18"/>
      <w:u w:val="none"/>
    </w:rPr>
  </w:style>
  <w:style w:type="character" w:customStyle="1" w:styleId="20">
    <w:name w:val="正文文本 字符"/>
    <w:basedOn w:val="14"/>
    <w:link w:val="5"/>
    <w:qFormat/>
    <w:uiPriority w:val="0"/>
    <w:rPr>
      <w:rFonts w:ascii="Times New Roman" w:hAnsi="Times New Roman" w:eastAsia="宋体" w:cs="Times New Roman"/>
      <w:kern w:val="2"/>
      <w:sz w:val="21"/>
      <w:szCs w:val="24"/>
    </w:rPr>
  </w:style>
  <w:style w:type="character" w:customStyle="1" w:styleId="21">
    <w:name w:val="正文文本缩进 字符"/>
    <w:basedOn w:val="14"/>
    <w:link w:val="6"/>
    <w:qFormat/>
    <w:uiPriority w:val="0"/>
    <w:rPr>
      <w:rFonts w:ascii="仿宋_GB2312" w:hAnsi="Times New Roman" w:eastAsia="仿宋_GB2312" w:cs="Times New Roman"/>
      <w:kern w:val="2"/>
      <w:sz w:val="28"/>
      <w:szCs w:val="24"/>
    </w:rPr>
  </w:style>
  <w:style w:type="character" w:customStyle="1" w:styleId="22">
    <w:name w:val="批注文字 字符"/>
    <w:basedOn w:val="14"/>
    <w:link w:val="4"/>
    <w:qFormat/>
    <w:uiPriority w:val="0"/>
    <w:rPr>
      <w:rFonts w:ascii="Times New Roman" w:hAnsi="Times New Roman" w:eastAsia="宋体" w:cs="Times New Roman"/>
      <w:kern w:val="2"/>
      <w:sz w:val="21"/>
      <w:szCs w:val="24"/>
    </w:rPr>
  </w:style>
  <w:style w:type="character" w:customStyle="1" w:styleId="23">
    <w:name w:val="页眉 字符"/>
    <w:basedOn w:val="14"/>
    <w:link w:val="10"/>
    <w:qFormat/>
    <w:uiPriority w:val="0"/>
    <w:rPr>
      <w:rFonts w:ascii="Times New Roman" w:hAnsi="Times New Roman" w:eastAsia="宋体" w:cs="Times New Roman"/>
      <w:kern w:val="2"/>
      <w:sz w:val="18"/>
      <w:szCs w:val="18"/>
    </w:rPr>
  </w:style>
  <w:style w:type="character" w:customStyle="1" w:styleId="24">
    <w:name w:val="页脚 字符"/>
    <w:basedOn w:val="14"/>
    <w:link w:val="9"/>
    <w:qFormat/>
    <w:uiPriority w:val="99"/>
    <w:rPr>
      <w:rFonts w:ascii="Times New Roman" w:hAnsi="Times New Roman" w:eastAsia="宋体" w:cs="Times New Roman"/>
      <w:kern w:val="2"/>
      <w:sz w:val="18"/>
      <w:szCs w:val="18"/>
    </w:rPr>
  </w:style>
  <w:style w:type="character" w:customStyle="1" w:styleId="25">
    <w:name w:val="批注框文本 字符"/>
    <w:basedOn w:val="14"/>
    <w:link w:val="8"/>
    <w:qFormat/>
    <w:uiPriority w:val="0"/>
    <w:rPr>
      <w:rFonts w:ascii="Times New Roman" w:hAnsi="Times New Roman" w:eastAsia="宋体" w:cs="Times New Roman"/>
      <w:kern w:val="2"/>
      <w:sz w:val="18"/>
      <w:szCs w:val="18"/>
    </w:rPr>
  </w:style>
  <w:style w:type="character" w:customStyle="1" w:styleId="26">
    <w:name w:val="日期 字符"/>
    <w:basedOn w:val="14"/>
    <w:link w:val="7"/>
    <w:qFormat/>
    <w:uiPriority w:val="0"/>
    <w:rPr>
      <w:kern w:val="2"/>
      <w:sz w:val="21"/>
      <w:szCs w:val="24"/>
    </w:rPr>
  </w:style>
  <w:style w:type="paragraph" w:styleId="2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5317</Words>
  <Characters>5684</Characters>
  <Lines>40</Lines>
  <Paragraphs>11</Paragraphs>
  <TotalTime>3</TotalTime>
  <ScaleCrop>false</ScaleCrop>
  <LinksUpToDate>false</LinksUpToDate>
  <CharactersWithSpaces>5753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2023-11-06T02:08:00Z</dcterms:created>
  <dc:creator>Administrator</dc:creator>
  <cp:lastModifiedBy>jinshuo</cp:lastModifiedBy>
  <dcterms:modified xsi:type="dcterms:W3CDTF">2026-05-14T13:15:51Z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F5F8A8CC4BAE4E4EB2712CCBE2D97E66_13</vt:lpwstr>
  </property>
  <property fmtid="{D5CDD505-2E9C-101B-9397-08002B2CF9AE}" pid="4" name="KSOTemplateDocerSaveRecord">
    <vt:lpwstr>eyJoZGlkIjoiNDllZDZkODE4YjZlNDU5MDFlZDY1NjY2ZDc0YjI5OTkiLCJ1c2VySWQiOiIxMDM2ODg2MTQ4In0=</vt:lpwstr>
  </property>
</Properties>
</file>