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223E6">
      <w:pPr>
        <w:spacing w:line="300" w:lineRule="auto"/>
        <w:jc w:val="center"/>
        <w:rPr>
          <w:rFonts w:ascii="楷体" w:hAnsi="楷体" w:eastAsia="楷体" w:cs="宋体"/>
          <w:b/>
          <w:kern w:val="0"/>
          <w:sz w:val="30"/>
          <w:szCs w:val="30"/>
        </w:rPr>
      </w:pPr>
      <w:bookmarkStart w:id="0" w:name="_GoBack"/>
      <w:r>
        <w:rPr>
          <w:rFonts w:hint="eastAsia" w:ascii="楷体" w:hAnsi="楷体" w:eastAsia="楷体" w:cs="宋体"/>
          <w:b/>
          <w:kern w:val="0"/>
          <w:sz w:val="30"/>
          <w:szCs w:val="30"/>
        </w:rPr>
        <w:t>药学院研究生</w:t>
      </w:r>
      <w:r>
        <w:rPr>
          <w:rFonts w:hint="eastAsia" w:ascii="楷体" w:hAnsi="楷体" w:eastAsia="楷体" w:cs="宋体"/>
          <w:b/>
          <w:kern w:val="0"/>
          <w:sz w:val="30"/>
          <w:szCs w:val="30"/>
          <w:lang w:val="en-US" w:eastAsia="zh-CN"/>
        </w:rPr>
        <w:t>学业奖学金</w:t>
      </w:r>
      <w:r>
        <w:rPr>
          <w:rFonts w:hint="eastAsia" w:ascii="楷体" w:hAnsi="楷体" w:eastAsia="楷体" w:cs="宋体"/>
          <w:b/>
          <w:kern w:val="0"/>
          <w:sz w:val="30"/>
          <w:szCs w:val="30"/>
        </w:rPr>
        <w:t>实施细则</w:t>
      </w:r>
    </w:p>
    <w:bookmarkEnd w:id="0"/>
    <w:p w14:paraId="5B4263DD">
      <w:pPr>
        <w:widowControl/>
        <w:spacing w:line="300" w:lineRule="auto"/>
        <w:ind w:firstLine="420" w:firstLineChars="200"/>
        <w:rPr>
          <w:rFonts w:ascii="仿宋_GB2312" w:hAnsi="ˎ̥" w:eastAsia="仿宋_GB2312" w:cs="宋体"/>
          <w:kern w:val="0"/>
          <w:szCs w:val="21"/>
        </w:rPr>
      </w:pPr>
    </w:p>
    <w:p w14:paraId="3B6C066D">
      <w:pPr>
        <w:widowControl/>
        <w:spacing w:line="300" w:lineRule="auto"/>
        <w:ind w:firstLine="482" w:firstLineChars="200"/>
        <w:rPr>
          <w:rFonts w:ascii="楷体" w:hAnsi="楷体" w:eastAsia="楷体" w:cs="宋体"/>
          <w:b/>
          <w:bCs/>
          <w:kern w:val="0"/>
          <w:sz w:val="24"/>
        </w:rPr>
      </w:pPr>
      <w:r>
        <w:rPr>
          <w:rFonts w:hint="eastAsia" w:ascii="楷体" w:hAnsi="楷体" w:eastAsia="楷体" w:cs="宋体"/>
          <w:b/>
          <w:bCs/>
          <w:kern w:val="0"/>
          <w:sz w:val="24"/>
        </w:rPr>
        <w:t>一、指导思想</w:t>
      </w:r>
    </w:p>
    <w:p w14:paraId="7E62D6C9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（一）全面、科学地评价在校研究生，提高研究生培养质量，培养适应社会主义现代化建设需要的德、智、体全面发展的高层次专门人才。</w:t>
      </w:r>
    </w:p>
    <w:p w14:paraId="7339D794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（二）研究生综合测评成绩是研究生国家奖学金、学业奖学金、研究生学术奖、三好研究生、优秀研究生干部、优秀毕业研究生等的主要依据之一。</w:t>
      </w:r>
    </w:p>
    <w:p w14:paraId="7A3622B7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</w:p>
    <w:p w14:paraId="595E7E64">
      <w:pPr>
        <w:widowControl/>
        <w:spacing w:line="300" w:lineRule="auto"/>
        <w:ind w:firstLine="482" w:firstLineChars="200"/>
        <w:rPr>
          <w:rFonts w:ascii="楷体" w:hAnsi="楷体" w:eastAsia="楷体" w:cs="宋体"/>
          <w:b/>
          <w:bCs/>
          <w:kern w:val="0"/>
          <w:sz w:val="24"/>
        </w:rPr>
      </w:pPr>
      <w:r>
        <w:rPr>
          <w:rFonts w:hint="eastAsia" w:ascii="楷体" w:hAnsi="楷体" w:eastAsia="楷体" w:cs="宋体"/>
          <w:b/>
          <w:bCs/>
          <w:kern w:val="0"/>
          <w:sz w:val="24"/>
        </w:rPr>
        <w:t>二、组织实施</w:t>
      </w:r>
    </w:p>
    <w:p w14:paraId="743FEB2C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研究生综合测评必须坚持公开、公平和公正的原则，组织实施步骤如下：</w:t>
      </w:r>
    </w:p>
    <w:p w14:paraId="1FDED845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（一）组织机构</w:t>
      </w:r>
    </w:p>
    <w:p w14:paraId="7C37A59F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、成立研究生综合评价工作小组。由学院党委书记任组长，分管研究生教育工作的院领导任副组长，成员由导师代表、研究生秘书、研究生专干和研究生代表等人组成。工作小组主要负责制定本单位研究生综合评价实施细则，具体组织、监督本学院综合评价，解决本学院综合评价纠纷，并做好相关思想教育及稳定工作。</w:t>
      </w:r>
    </w:p>
    <w:p w14:paraId="3A23F165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</w:p>
    <w:p w14:paraId="0CCE8E38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（二）测评程序</w:t>
      </w:r>
    </w:p>
    <w:p w14:paraId="1C8D55DF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毕业年级研究生整个研究生期间的综合评价工作在每年五月份进行，其他年级研究生的综合评价工作在每年九月份进行。评价工作分为自我评价、评价小组审核、公示上报三个主要步骤进行。</w:t>
      </w:r>
    </w:p>
    <w:p w14:paraId="167F595E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1.自我评价。研究生对照考核内容，填写《吉首大学研究生综合素质评价表》。</w:t>
      </w:r>
    </w:p>
    <w:p w14:paraId="331F9331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2.评价小组核定成绩。评价小组对自评内容进行审核评价，确定具体的评价成绩。</w:t>
      </w:r>
    </w:p>
    <w:p w14:paraId="1EA23A7D">
      <w:pPr>
        <w:spacing w:line="300" w:lineRule="auto"/>
        <w:ind w:firstLine="480" w:firstLineChars="200"/>
        <w:rPr>
          <w:rFonts w:ascii="楷体" w:hAnsi="楷体" w:eastAsia="楷体"/>
          <w:w w:val="96"/>
          <w:sz w:val="24"/>
        </w:rPr>
      </w:pPr>
      <w:r>
        <w:rPr>
          <w:rFonts w:hint="eastAsia" w:ascii="楷体" w:hAnsi="楷体" w:eastAsia="楷体"/>
          <w:sz w:val="24"/>
        </w:rPr>
        <w:t>3.结果公示上报。学院将评价成绩予以公示</w:t>
      </w:r>
      <w:r>
        <w:rPr>
          <w:rFonts w:ascii="楷体" w:hAnsi="楷体" w:eastAsia="楷体"/>
          <w:sz w:val="24"/>
        </w:rPr>
        <w:t>5</w:t>
      </w:r>
      <w:r>
        <w:rPr>
          <w:rFonts w:hint="eastAsia" w:ascii="楷体" w:hAnsi="楷体" w:eastAsia="楷体"/>
          <w:sz w:val="24"/>
        </w:rPr>
        <w:t>日，若学生对测评过程、结果有异议，可在公示期内向学院综合评价工作小组提出复核申请。学院综合评价工作小组应在</w:t>
      </w:r>
      <w:r>
        <w:rPr>
          <w:rFonts w:ascii="楷体" w:hAnsi="楷体" w:eastAsia="楷体"/>
          <w:sz w:val="24"/>
        </w:rPr>
        <w:t>5</w:t>
      </w:r>
      <w:r>
        <w:rPr>
          <w:rFonts w:hint="eastAsia" w:ascii="楷体" w:hAnsi="楷体" w:eastAsia="楷体"/>
          <w:sz w:val="24"/>
        </w:rPr>
        <w:t>日内做出复核结论。公示结果无异议后，将评价结果报研究生院备案。</w:t>
      </w:r>
    </w:p>
    <w:p w14:paraId="6B789168">
      <w:pPr>
        <w:spacing w:line="300" w:lineRule="auto"/>
        <w:ind w:firstLine="460" w:firstLineChars="200"/>
        <w:rPr>
          <w:rFonts w:ascii="楷体" w:hAnsi="楷体" w:eastAsia="楷体"/>
          <w:w w:val="96"/>
          <w:sz w:val="24"/>
        </w:rPr>
      </w:pPr>
    </w:p>
    <w:p w14:paraId="370CB310">
      <w:pPr>
        <w:widowControl/>
        <w:spacing w:line="300" w:lineRule="auto"/>
        <w:ind w:firstLine="482" w:firstLineChars="200"/>
        <w:rPr>
          <w:rFonts w:ascii="楷体" w:hAnsi="楷体" w:eastAsia="楷体" w:cs="宋体"/>
          <w:b/>
          <w:bCs/>
          <w:kern w:val="0"/>
          <w:sz w:val="24"/>
        </w:rPr>
      </w:pPr>
      <w:r>
        <w:rPr>
          <w:rFonts w:hint="eastAsia" w:ascii="楷体" w:hAnsi="楷体" w:eastAsia="楷体" w:cs="宋体"/>
          <w:b/>
          <w:bCs/>
          <w:kern w:val="0"/>
          <w:sz w:val="24"/>
        </w:rPr>
        <w:t>三、评价内容和标准</w:t>
      </w:r>
    </w:p>
    <w:p w14:paraId="371F34F8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综合评价成绩由德育评价、智育评价和体美劳育评价三个板块构成。其中，德育评价（A）主要由研究生思想品德评价构成；智育评价主要由课程与论文评价（B）和科研与创新素养评价（C）两个部分构成；体美劳育评价（D）主要由文体素养、劳动素养与社会实践评价等部分构成。具体评价内容及权重如下表。</w:t>
      </w:r>
    </w:p>
    <w:p w14:paraId="4A250B2B">
      <w:pPr>
        <w:spacing w:line="300" w:lineRule="auto"/>
        <w:ind w:firstLine="480" w:firstLineChars="200"/>
        <w:jc w:val="center"/>
        <w:rPr>
          <w:rFonts w:ascii="楷体" w:hAnsi="楷体" w:eastAsia="楷体"/>
          <w:sz w:val="24"/>
        </w:rPr>
      </w:pPr>
    </w:p>
    <w:p w14:paraId="03727672">
      <w:pPr>
        <w:spacing w:line="30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表</w:t>
      </w:r>
      <w:r>
        <w:rPr>
          <w:rFonts w:ascii="楷体" w:hAnsi="楷体" w:eastAsia="楷体" w:cs="宋体"/>
          <w:kern w:val="0"/>
          <w:sz w:val="24"/>
        </w:rPr>
        <w:t xml:space="preserve">1 </w:t>
      </w:r>
      <w:r>
        <w:rPr>
          <w:rFonts w:hint="eastAsia" w:ascii="楷体" w:hAnsi="楷体" w:eastAsia="楷体"/>
          <w:sz w:val="24"/>
        </w:rPr>
        <w:t>综合评价内容及权重比例表</w:t>
      </w:r>
    </w:p>
    <w:tbl>
      <w:tblPr>
        <w:tblStyle w:val="12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1361"/>
        <w:gridCol w:w="1644"/>
        <w:gridCol w:w="2184"/>
        <w:gridCol w:w="1860"/>
      </w:tblGrid>
      <w:tr w14:paraId="1D530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7" w:hRule="atLeast"/>
        </w:trPr>
        <w:tc>
          <w:tcPr>
            <w:tcW w:w="1783" w:type="dxa"/>
            <w:vMerge w:val="restart"/>
            <w:shd w:val="clear" w:color="auto" w:fill="auto"/>
          </w:tcPr>
          <w:p w14:paraId="25C33E43">
            <w:pPr>
              <w:spacing w:line="500" w:lineRule="exact"/>
              <w:jc w:val="right"/>
              <w:rPr>
                <w:rFonts w:ascii="楷体" w:hAnsi="楷体" w:eastAsia="楷体" w:cs="黑体"/>
                <w:sz w:val="24"/>
              </w:rPr>
            </w:pPr>
            <w:r>
              <w:rPr>
                <w:rFonts w:hint="eastAsia" w:ascii="楷体" w:hAnsi="楷体" w:eastAsia="楷体" w:cs="黑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5715</wp:posOffset>
                      </wp:positionV>
                      <wp:extent cx="1219835" cy="654050"/>
                      <wp:effectExtent l="0" t="0" r="37465" b="31750"/>
                      <wp:wrapNone/>
                      <wp:docPr id="869610668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9835" cy="654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3" o:spid="_x0000_s1026" o:spt="20" style="position:absolute;left:0pt;margin-left:-5.7pt;margin-top:0.45pt;height:51.5pt;width:96.05pt;z-index:251659264;mso-width-relative:page;mso-height-relative:page;" filled="f" stroked="t" coordsize="21600,21600" o:gfxdata="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5FMXXAAAACAEAAA8AAAAAAAAAAQAgAAAAIgAAAGRycy9kb3ducmV2&#10;LnhtbFBLAQIUABQAAAAIAIdO4kD72ULi/QEAAOADAAAOAAAAAAAAAAEAIAAAACYBAABkcnMvZTJv&#10;RG9jLnhtbFBLBQYAAAAABgAGAFkBAACV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楷体" w:hAnsi="楷体" w:eastAsia="楷体" w:cs="黑体"/>
                <w:sz w:val="24"/>
              </w:rPr>
              <w:t xml:space="preserve"> 评价板块</w:t>
            </w:r>
          </w:p>
          <w:p w14:paraId="3CB502B5">
            <w:pPr>
              <w:spacing w:line="500" w:lineRule="exact"/>
              <w:rPr>
                <w:rFonts w:ascii="楷体" w:hAnsi="楷体" w:eastAsia="楷体" w:cs="黑体"/>
                <w:sz w:val="24"/>
              </w:rPr>
            </w:pPr>
            <w:r>
              <w:rPr>
                <w:rFonts w:hint="eastAsia" w:ascii="楷体" w:hAnsi="楷体" w:eastAsia="楷体" w:cs="黑体"/>
                <w:sz w:val="24"/>
              </w:rPr>
              <w:t>年级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14:paraId="22CCEDF6">
            <w:pPr>
              <w:jc w:val="center"/>
              <w:rPr>
                <w:rFonts w:ascii="楷体" w:hAnsi="楷体" w:eastAsia="楷体" w:cs="黑体"/>
                <w:kern w:val="0"/>
                <w:sz w:val="24"/>
              </w:rPr>
            </w:pPr>
            <w:r>
              <w:rPr>
                <w:rFonts w:hint="eastAsia" w:ascii="楷体" w:hAnsi="楷体" w:eastAsia="楷体" w:cs="黑体"/>
                <w:kern w:val="0"/>
                <w:sz w:val="24"/>
              </w:rPr>
              <w:t>德育评价A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30992EA7">
            <w:pPr>
              <w:jc w:val="center"/>
              <w:rPr>
                <w:rFonts w:ascii="楷体" w:hAnsi="楷体" w:eastAsia="楷体" w:cs="黑体"/>
                <w:kern w:val="0"/>
                <w:sz w:val="24"/>
              </w:rPr>
            </w:pPr>
            <w:r>
              <w:rPr>
                <w:rFonts w:hint="eastAsia" w:ascii="楷体" w:hAnsi="楷体" w:eastAsia="楷体" w:cs="黑体"/>
                <w:kern w:val="0"/>
                <w:sz w:val="24"/>
              </w:rPr>
              <w:t>智育评价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14:paraId="1EA2FFD7">
            <w:pPr>
              <w:spacing w:line="580" w:lineRule="exact"/>
              <w:jc w:val="center"/>
              <w:rPr>
                <w:rFonts w:ascii="楷体" w:hAnsi="楷体" w:eastAsia="楷体" w:cs="黑体"/>
                <w:sz w:val="24"/>
              </w:rPr>
            </w:pPr>
            <w:r>
              <w:rPr>
                <w:rFonts w:hint="eastAsia" w:ascii="楷体" w:hAnsi="楷体" w:eastAsia="楷体" w:cs="黑体"/>
                <w:kern w:val="0"/>
                <w:sz w:val="24"/>
              </w:rPr>
              <w:t>体美劳育评价D</w:t>
            </w:r>
          </w:p>
        </w:tc>
      </w:tr>
      <w:tr w14:paraId="11303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783" w:type="dxa"/>
            <w:vMerge w:val="continue"/>
            <w:shd w:val="clear" w:color="auto" w:fill="auto"/>
          </w:tcPr>
          <w:p w14:paraId="46302314">
            <w:pPr>
              <w:spacing w:line="5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361" w:type="dxa"/>
            <w:vMerge w:val="continue"/>
            <w:shd w:val="clear" w:color="auto" w:fill="auto"/>
          </w:tcPr>
          <w:p w14:paraId="3EBF5E5A">
            <w:pPr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5BD97EE">
            <w:pPr>
              <w:jc w:val="center"/>
              <w:rPr>
                <w:rFonts w:ascii="楷体" w:hAnsi="楷体" w:eastAsia="楷体" w:cs="黑体"/>
                <w:kern w:val="0"/>
                <w:sz w:val="24"/>
              </w:rPr>
            </w:pPr>
            <w:r>
              <w:rPr>
                <w:rFonts w:hint="eastAsia" w:ascii="楷体" w:hAnsi="楷体" w:eastAsia="楷体" w:cs="黑体"/>
                <w:kern w:val="0"/>
                <w:sz w:val="24"/>
              </w:rPr>
              <w:t>课程与论文B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65105D0">
            <w:pPr>
              <w:jc w:val="center"/>
              <w:rPr>
                <w:rFonts w:ascii="楷体" w:hAnsi="楷体" w:eastAsia="楷体" w:cs="黑体"/>
                <w:kern w:val="0"/>
                <w:sz w:val="24"/>
              </w:rPr>
            </w:pPr>
            <w:r>
              <w:rPr>
                <w:rFonts w:hint="eastAsia" w:ascii="楷体" w:hAnsi="楷体" w:eastAsia="楷体" w:cs="黑体"/>
                <w:kern w:val="0"/>
                <w:sz w:val="24"/>
              </w:rPr>
              <w:t>科研与创新素养C</w:t>
            </w:r>
          </w:p>
        </w:tc>
        <w:tc>
          <w:tcPr>
            <w:tcW w:w="1860" w:type="dxa"/>
            <w:vMerge w:val="continue"/>
            <w:shd w:val="clear" w:color="auto" w:fill="auto"/>
          </w:tcPr>
          <w:p w14:paraId="47B9EA98">
            <w:pPr>
              <w:spacing w:line="5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169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shd w:val="clear" w:color="auto" w:fill="auto"/>
            <w:vAlign w:val="center"/>
          </w:tcPr>
          <w:p w14:paraId="24BBE8FE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一年级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D7A6AF0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15%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5324FF8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70%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3C266F1">
            <w:pPr>
              <w:spacing w:line="360" w:lineRule="auto"/>
              <w:jc w:val="center"/>
              <w:rPr>
                <w:rFonts w:ascii="楷体" w:hAnsi="楷体" w:eastAsia="楷体" w:cs="宋体"/>
                <w:b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5%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1FA3E3A">
            <w:pPr>
              <w:spacing w:line="360" w:lineRule="auto"/>
              <w:jc w:val="center"/>
              <w:rPr>
                <w:rFonts w:ascii="楷体" w:hAnsi="楷体" w:eastAsia="楷体" w:cs="宋体"/>
                <w:b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10%</w:t>
            </w:r>
          </w:p>
        </w:tc>
      </w:tr>
      <w:tr w14:paraId="40FFC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shd w:val="clear" w:color="auto" w:fill="auto"/>
            <w:vAlign w:val="center"/>
          </w:tcPr>
          <w:p w14:paraId="3FAD58F4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二年级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AF6B2A2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15%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9CB5B14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45%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5815D92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30%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0D5B5D15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10%</w:t>
            </w:r>
          </w:p>
        </w:tc>
      </w:tr>
      <w:tr w14:paraId="760E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3" w:type="dxa"/>
            <w:shd w:val="clear" w:color="auto" w:fill="auto"/>
            <w:vAlign w:val="center"/>
          </w:tcPr>
          <w:p w14:paraId="62D0073E">
            <w:pPr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三年级</w:t>
            </w:r>
          </w:p>
          <w:p w14:paraId="17AED145">
            <w:pPr>
              <w:ind w:left="17" w:leftChars="-95" w:right="-231" w:rightChars="-110" w:hanging="216" w:hangingChars="90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（延期毕业除外）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F4CAF61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15%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589D7FE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15%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21AC5A8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60%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6BFA2300">
            <w:pPr>
              <w:spacing w:line="36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10%</w:t>
            </w:r>
          </w:p>
        </w:tc>
      </w:tr>
    </w:tbl>
    <w:p w14:paraId="12A9B2A2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综合评价总成绩计算公式为：</w:t>
      </w:r>
    </w:p>
    <w:p w14:paraId="29C8B40F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综合评价总成绩（S）＝德育评价成绩（A）+智育评价成绩（B+C）+体美劳育评价成绩（D），满分为100分，保留至小数点后两位。</w:t>
      </w:r>
    </w:p>
    <w:p w14:paraId="333CF97C">
      <w:pPr>
        <w:spacing w:line="300" w:lineRule="auto"/>
        <w:ind w:firstLine="480" w:firstLineChars="200"/>
        <w:rPr>
          <w:rFonts w:ascii="楷体" w:hAnsi="楷体" w:eastAsia="楷体"/>
          <w:sz w:val="24"/>
        </w:rPr>
      </w:pPr>
    </w:p>
    <w:p w14:paraId="64A8B358">
      <w:pPr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（一）德育评价（A）</w:t>
      </w:r>
    </w:p>
    <w:p w14:paraId="44FF93B0">
      <w:pPr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德育评价主要评价学生的思想品德综合水平，其观测点主要包括政治素养、集体观念、遵纪守法、学术道德和社会公德等内容。思想品德评价由基础分和加减分组成，满分为100分。</w:t>
      </w:r>
    </w:p>
    <w:p w14:paraId="75B3D3DF">
      <w:pPr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1.德育评价基础分评分（A1）</w:t>
      </w:r>
    </w:p>
    <w:p w14:paraId="271ACDC0">
      <w:pPr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考核小组采用无记名方式对评价对象进行考核评分。计算时去掉最高分和最低分，取平均分作为其基础分。德育评价基础分评价指标、评价等级如下表所示：</w:t>
      </w:r>
    </w:p>
    <w:p w14:paraId="6572D3B4">
      <w:pPr>
        <w:widowControl/>
        <w:spacing w:line="300" w:lineRule="auto"/>
        <w:jc w:val="center"/>
        <w:rPr>
          <w:rFonts w:ascii="楷体" w:hAnsi="楷体" w:eastAsia="楷体" w:cs="宋体"/>
          <w:b/>
          <w:kern w:val="0"/>
          <w:sz w:val="24"/>
        </w:rPr>
      </w:pPr>
      <w:r>
        <w:rPr>
          <w:rFonts w:hint="eastAsia" w:ascii="楷体" w:hAnsi="楷体" w:eastAsia="楷体" w:cs="宋体"/>
          <w:b/>
          <w:kern w:val="0"/>
          <w:sz w:val="24"/>
        </w:rPr>
        <w:t>表2</w:t>
      </w:r>
      <w:r>
        <w:rPr>
          <w:rFonts w:ascii="楷体" w:hAnsi="楷体" w:eastAsia="楷体" w:cs="宋体"/>
          <w:b/>
          <w:kern w:val="0"/>
          <w:sz w:val="24"/>
        </w:rPr>
        <w:t xml:space="preserve"> </w:t>
      </w:r>
      <w:r>
        <w:rPr>
          <w:rFonts w:hint="eastAsia" w:ascii="楷体" w:hAnsi="楷体" w:eastAsia="楷体" w:cs="宋体"/>
          <w:b/>
          <w:kern w:val="0"/>
          <w:sz w:val="24"/>
        </w:rPr>
        <w:t>德育评价指标及等级一览表</w:t>
      </w:r>
    </w:p>
    <w:tbl>
      <w:tblPr>
        <w:tblStyle w:val="12"/>
        <w:tblW w:w="8565" w:type="dxa"/>
        <w:tblInd w:w="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4245"/>
        <w:gridCol w:w="870"/>
        <w:gridCol w:w="870"/>
        <w:gridCol w:w="1005"/>
      </w:tblGrid>
      <w:tr w14:paraId="1F7DD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</w:trPr>
        <w:tc>
          <w:tcPr>
            <w:tcW w:w="5820" w:type="dxa"/>
            <w:gridSpan w:val="2"/>
            <w:vAlign w:val="center"/>
          </w:tcPr>
          <w:p w14:paraId="378810A7">
            <w:pPr>
              <w:jc w:val="center"/>
              <w:rPr>
                <w:rFonts w:ascii="楷体" w:hAnsi="楷体" w:eastAsia="楷体" w:cs="黑体"/>
                <w:b/>
                <w:bCs/>
                <w:sz w:val="24"/>
              </w:rPr>
            </w:pPr>
            <w:r>
              <w:rPr>
                <w:rFonts w:hint="eastAsia" w:ascii="楷体" w:hAnsi="楷体" w:eastAsia="楷体" w:cs="黑体"/>
                <w:b/>
                <w:bCs/>
                <w:sz w:val="24"/>
              </w:rPr>
              <w:t>评价基本内容</w:t>
            </w:r>
          </w:p>
        </w:tc>
        <w:tc>
          <w:tcPr>
            <w:tcW w:w="870" w:type="dxa"/>
            <w:vAlign w:val="center"/>
          </w:tcPr>
          <w:p w14:paraId="3F3B7706">
            <w:pPr>
              <w:jc w:val="center"/>
              <w:rPr>
                <w:rFonts w:ascii="楷体" w:hAnsi="楷体" w:eastAsia="楷体" w:cs="黑体"/>
                <w:b/>
                <w:bCs/>
                <w:sz w:val="24"/>
              </w:rPr>
            </w:pPr>
            <w:r>
              <w:rPr>
                <w:rFonts w:hint="eastAsia" w:ascii="楷体" w:hAnsi="楷体" w:eastAsia="楷体" w:cs="黑体"/>
                <w:b/>
                <w:bCs/>
                <w:sz w:val="24"/>
              </w:rPr>
              <w:t>优</w:t>
            </w:r>
          </w:p>
        </w:tc>
        <w:tc>
          <w:tcPr>
            <w:tcW w:w="870" w:type="dxa"/>
            <w:vAlign w:val="center"/>
          </w:tcPr>
          <w:p w14:paraId="05A2B267">
            <w:pPr>
              <w:jc w:val="center"/>
              <w:rPr>
                <w:rFonts w:ascii="楷体" w:hAnsi="楷体" w:eastAsia="楷体" w:cs="黑体"/>
                <w:b/>
                <w:bCs/>
                <w:sz w:val="24"/>
              </w:rPr>
            </w:pPr>
            <w:r>
              <w:rPr>
                <w:rFonts w:hint="eastAsia" w:ascii="楷体" w:hAnsi="楷体" w:eastAsia="楷体" w:cs="黑体"/>
                <w:b/>
                <w:bCs/>
                <w:sz w:val="24"/>
              </w:rPr>
              <w:t>中</w:t>
            </w:r>
          </w:p>
        </w:tc>
        <w:tc>
          <w:tcPr>
            <w:tcW w:w="1005" w:type="dxa"/>
            <w:vAlign w:val="center"/>
          </w:tcPr>
          <w:p w14:paraId="7A263CD2">
            <w:pPr>
              <w:jc w:val="center"/>
              <w:rPr>
                <w:rFonts w:ascii="楷体" w:hAnsi="楷体" w:eastAsia="楷体" w:cs="黑体"/>
                <w:b/>
                <w:bCs/>
                <w:sz w:val="24"/>
              </w:rPr>
            </w:pPr>
            <w:r>
              <w:rPr>
                <w:rFonts w:hint="eastAsia" w:ascii="楷体" w:hAnsi="楷体" w:eastAsia="楷体" w:cs="黑体"/>
                <w:b/>
                <w:bCs/>
                <w:sz w:val="24"/>
              </w:rPr>
              <w:t>差</w:t>
            </w:r>
          </w:p>
        </w:tc>
      </w:tr>
      <w:tr w14:paraId="6A36F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575" w:type="dxa"/>
            <w:vAlign w:val="center"/>
          </w:tcPr>
          <w:p w14:paraId="0159BBF4">
            <w:pPr>
              <w:spacing w:line="620" w:lineRule="exact"/>
              <w:ind w:left="-105" w:leftChars="-50" w:right="-105" w:rightChars="-50" w:firstLine="77" w:firstLineChars="32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政治素养</w:t>
            </w:r>
          </w:p>
        </w:tc>
        <w:tc>
          <w:tcPr>
            <w:tcW w:w="4245" w:type="dxa"/>
            <w:vAlign w:val="center"/>
          </w:tcPr>
          <w:p w14:paraId="5220F87C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拥护中国共产党的领导，热爱社会主义祖国，热爱学校；自觉参加政治学习，思想积极上进，敢于同错误言行作斗争；积极践行社会主义核心价值观，弘扬主旋律，传递正能量。</w:t>
            </w:r>
          </w:p>
        </w:tc>
        <w:tc>
          <w:tcPr>
            <w:tcW w:w="870" w:type="dxa"/>
            <w:vAlign w:val="center"/>
          </w:tcPr>
          <w:p w14:paraId="2F6BD7F2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20-16</w:t>
            </w:r>
          </w:p>
        </w:tc>
        <w:tc>
          <w:tcPr>
            <w:tcW w:w="870" w:type="dxa"/>
            <w:vAlign w:val="center"/>
          </w:tcPr>
          <w:p w14:paraId="07BA2717">
            <w:pPr>
              <w:spacing w:line="620" w:lineRule="exact"/>
              <w:ind w:firstLine="21" w:firstLineChars="1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15-12</w:t>
            </w:r>
          </w:p>
        </w:tc>
        <w:tc>
          <w:tcPr>
            <w:tcW w:w="1005" w:type="dxa"/>
            <w:vAlign w:val="center"/>
          </w:tcPr>
          <w:p w14:paraId="42177945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12以下</w:t>
            </w:r>
          </w:p>
        </w:tc>
      </w:tr>
      <w:tr w14:paraId="33593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 w14:paraId="4D76124B">
            <w:pPr>
              <w:spacing w:line="620" w:lineRule="exact"/>
              <w:ind w:right="-105" w:rightChars="-5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集体观念</w:t>
            </w:r>
          </w:p>
        </w:tc>
        <w:tc>
          <w:tcPr>
            <w:tcW w:w="4245" w:type="dxa"/>
            <w:vAlign w:val="center"/>
          </w:tcPr>
          <w:p w14:paraId="69D13801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积极参加社会实践和公益劳动；热爱集体，积极参加各种集体活动；团结同学，具有集体荣誉感。</w:t>
            </w:r>
          </w:p>
        </w:tc>
        <w:tc>
          <w:tcPr>
            <w:tcW w:w="870" w:type="dxa"/>
            <w:vAlign w:val="center"/>
          </w:tcPr>
          <w:p w14:paraId="1379A6AC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20-16</w:t>
            </w:r>
          </w:p>
        </w:tc>
        <w:tc>
          <w:tcPr>
            <w:tcW w:w="870" w:type="dxa"/>
            <w:vAlign w:val="center"/>
          </w:tcPr>
          <w:p w14:paraId="0FAC853F">
            <w:pPr>
              <w:spacing w:line="620" w:lineRule="exact"/>
              <w:ind w:firstLine="21" w:firstLineChars="1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15-12</w:t>
            </w:r>
          </w:p>
        </w:tc>
        <w:tc>
          <w:tcPr>
            <w:tcW w:w="1005" w:type="dxa"/>
            <w:vAlign w:val="center"/>
          </w:tcPr>
          <w:p w14:paraId="147CD8F2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12以下</w:t>
            </w:r>
          </w:p>
        </w:tc>
      </w:tr>
      <w:tr w14:paraId="4333F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 w14:paraId="714D6460">
            <w:pPr>
              <w:spacing w:line="620" w:lineRule="exact"/>
              <w:ind w:right="-105" w:rightChars="-5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遵纪守法</w:t>
            </w:r>
          </w:p>
        </w:tc>
        <w:tc>
          <w:tcPr>
            <w:tcW w:w="4245" w:type="dxa"/>
            <w:vAlign w:val="center"/>
          </w:tcPr>
          <w:p w14:paraId="1279CA44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遵守法律法规和校纪校规；敢于同不法行为作斗争。</w:t>
            </w:r>
          </w:p>
        </w:tc>
        <w:tc>
          <w:tcPr>
            <w:tcW w:w="870" w:type="dxa"/>
            <w:vAlign w:val="center"/>
          </w:tcPr>
          <w:p w14:paraId="6063A04E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20-16</w:t>
            </w:r>
          </w:p>
        </w:tc>
        <w:tc>
          <w:tcPr>
            <w:tcW w:w="870" w:type="dxa"/>
            <w:vAlign w:val="center"/>
          </w:tcPr>
          <w:p w14:paraId="5A3A92AB">
            <w:pPr>
              <w:spacing w:line="620" w:lineRule="exact"/>
              <w:ind w:firstLine="21" w:firstLineChars="1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15-12</w:t>
            </w:r>
          </w:p>
        </w:tc>
        <w:tc>
          <w:tcPr>
            <w:tcW w:w="1005" w:type="dxa"/>
            <w:vAlign w:val="center"/>
          </w:tcPr>
          <w:p w14:paraId="5AA914F6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12以下</w:t>
            </w:r>
          </w:p>
        </w:tc>
      </w:tr>
      <w:tr w14:paraId="250C7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 w14:paraId="37EB3DB2">
            <w:pPr>
              <w:spacing w:line="620" w:lineRule="exact"/>
              <w:ind w:right="-105" w:rightChars="-5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学术道德</w:t>
            </w:r>
          </w:p>
        </w:tc>
        <w:tc>
          <w:tcPr>
            <w:tcW w:w="4245" w:type="dxa"/>
            <w:vAlign w:val="center"/>
          </w:tcPr>
          <w:p w14:paraId="3680F88D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学习态度端正，积极向上；严谨求实，恪守学术道德和学术规范。</w:t>
            </w:r>
          </w:p>
        </w:tc>
        <w:tc>
          <w:tcPr>
            <w:tcW w:w="870" w:type="dxa"/>
            <w:vAlign w:val="center"/>
          </w:tcPr>
          <w:p w14:paraId="6A988518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20-16</w:t>
            </w:r>
          </w:p>
        </w:tc>
        <w:tc>
          <w:tcPr>
            <w:tcW w:w="870" w:type="dxa"/>
            <w:vAlign w:val="center"/>
          </w:tcPr>
          <w:p w14:paraId="4C4C96DB">
            <w:pPr>
              <w:spacing w:line="620" w:lineRule="exact"/>
              <w:ind w:firstLine="21" w:firstLineChars="1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15-12</w:t>
            </w:r>
          </w:p>
        </w:tc>
        <w:tc>
          <w:tcPr>
            <w:tcW w:w="1005" w:type="dxa"/>
            <w:vAlign w:val="center"/>
          </w:tcPr>
          <w:p w14:paraId="4F5A4BD2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12以下</w:t>
            </w:r>
          </w:p>
        </w:tc>
      </w:tr>
      <w:tr w14:paraId="49DE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vAlign w:val="center"/>
          </w:tcPr>
          <w:p w14:paraId="3E1ED581">
            <w:pPr>
              <w:spacing w:line="620" w:lineRule="exact"/>
              <w:ind w:right="-105" w:rightChars="-5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社会公德</w:t>
            </w:r>
          </w:p>
        </w:tc>
        <w:tc>
          <w:tcPr>
            <w:tcW w:w="4245" w:type="dxa"/>
            <w:vAlign w:val="center"/>
          </w:tcPr>
          <w:p w14:paraId="2062DF00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遵守社会秩序和公民道德规范，维护公序良俗；诚实守信，尊老爱幼，乐于助人；爱护公物，勤俭节约。</w:t>
            </w:r>
          </w:p>
        </w:tc>
        <w:tc>
          <w:tcPr>
            <w:tcW w:w="870" w:type="dxa"/>
            <w:vAlign w:val="center"/>
          </w:tcPr>
          <w:p w14:paraId="4E76FEAB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20-16</w:t>
            </w:r>
          </w:p>
        </w:tc>
        <w:tc>
          <w:tcPr>
            <w:tcW w:w="870" w:type="dxa"/>
            <w:vAlign w:val="center"/>
          </w:tcPr>
          <w:p w14:paraId="38F55DDA">
            <w:pPr>
              <w:spacing w:line="620" w:lineRule="exact"/>
              <w:ind w:firstLine="21" w:firstLineChars="1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15-12</w:t>
            </w:r>
          </w:p>
        </w:tc>
        <w:tc>
          <w:tcPr>
            <w:tcW w:w="1005" w:type="dxa"/>
            <w:vAlign w:val="center"/>
          </w:tcPr>
          <w:p w14:paraId="4C6C231B">
            <w:pPr>
              <w:spacing w:line="62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12以下</w:t>
            </w:r>
          </w:p>
        </w:tc>
      </w:tr>
    </w:tbl>
    <w:p w14:paraId="6C2358D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注：本表供评价小组成员和评价对象使用。</w:t>
      </w:r>
    </w:p>
    <w:p w14:paraId="735F1D88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2.德育评价加减分（A2）</w:t>
      </w:r>
    </w:p>
    <w:p w14:paraId="35BB336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（1）因先进事迹被州市级以上通报表扬的，每次加分10分；被学校、学院通报表扬的，每次分别加5分和2分。</w:t>
      </w:r>
    </w:p>
    <w:p w14:paraId="2E674FD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（2）未完成党员培训等学校或学院规定的教育主题活动的，每次扣2分；</w:t>
      </w:r>
    </w:p>
    <w:p w14:paraId="76A36296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</w:t>
      </w:r>
      <w:r>
        <w:rPr>
          <w:rFonts w:ascii="楷体" w:hAnsi="楷体" w:eastAsia="楷体" w:cs="宋体"/>
          <w:kern w:val="0"/>
          <w:sz w:val="24"/>
        </w:rPr>
        <w:t>3</w:t>
      </w:r>
      <w:r>
        <w:rPr>
          <w:rFonts w:hint="eastAsia" w:ascii="楷体" w:hAnsi="楷体" w:eastAsia="楷体" w:cs="宋体"/>
          <w:kern w:val="0"/>
          <w:sz w:val="24"/>
        </w:rPr>
        <w:t>）违反社会公德，传播不实言论，有损研究生形象等行为，被学院通报的每次扣2分；</w:t>
      </w:r>
    </w:p>
    <w:p w14:paraId="327C5193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</w:t>
      </w:r>
      <w:r>
        <w:rPr>
          <w:rFonts w:ascii="楷体" w:hAnsi="楷体" w:eastAsia="楷体" w:cs="宋体"/>
          <w:kern w:val="0"/>
          <w:sz w:val="24"/>
        </w:rPr>
        <w:t>4</w:t>
      </w:r>
      <w:r>
        <w:rPr>
          <w:rFonts w:hint="eastAsia" w:ascii="楷体" w:hAnsi="楷体" w:eastAsia="楷体" w:cs="宋体"/>
          <w:kern w:val="0"/>
          <w:sz w:val="24"/>
        </w:rPr>
        <w:t>）德育评价低于60分者，取消当年评先评优资格。</w:t>
      </w:r>
    </w:p>
    <w:p w14:paraId="4C824FBE">
      <w:pPr>
        <w:widowControl/>
        <w:spacing w:line="300" w:lineRule="auto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有下列情形之一者，德育评价以0分计：</w:t>
      </w:r>
    </w:p>
    <w:p w14:paraId="7318DB04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(1)违背四项基本原则，造成严重后果或影响。</w:t>
      </w:r>
    </w:p>
    <w:p w14:paraId="7AB5C621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(2)违反政治纪律，造成严重后果或影响。</w:t>
      </w:r>
    </w:p>
    <w:p w14:paraId="1C3255F4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(3)违反相关法律法规受到惩处。</w:t>
      </w:r>
    </w:p>
    <w:p w14:paraId="09B3F2F1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(4)违反校纪校规，受到留校察看及以上处分。</w:t>
      </w:r>
    </w:p>
    <w:p w14:paraId="56BC24B8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3.德育评价成绩计算</w:t>
      </w:r>
    </w:p>
    <w:p w14:paraId="6127CAE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德育评价成绩（A）=基础分（A1）+加减分（A2）</w:t>
      </w:r>
    </w:p>
    <w:p w14:paraId="230E7E1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德育基础分不超过90分，德育评价成绩（A）最终得分不得超过100分，超过分值作为同等条件下评优评先的重要参考。</w:t>
      </w:r>
    </w:p>
    <w:p w14:paraId="351BAAC3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34659005">
      <w:pPr>
        <w:widowControl/>
        <w:numPr>
          <w:ilvl w:val="0"/>
          <w:numId w:val="1"/>
        </w:numPr>
        <w:spacing w:line="300" w:lineRule="auto"/>
        <w:ind w:firstLine="480" w:firstLineChars="200"/>
        <w:rPr>
          <w:rFonts w:hint="eastAsia"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课程与论文评价（B）</w:t>
      </w:r>
    </w:p>
    <w:p w14:paraId="2EC9E01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一年级研究生课程与论文评价主要考察入学初试、复试及入学后成绩复核考试；其他年级研究生课程与论文评价主要考查学业成绩、学位论文开题报告、培养过程中期考核等环节。课程与论文评价由基础分和加减分组成。</w:t>
      </w:r>
    </w:p>
    <w:p w14:paraId="3E3C8C76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1.课程与论文评价基础分</w:t>
      </w:r>
    </w:p>
    <w:p w14:paraId="78B467F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（1）学业成绩（B1）</w:t>
      </w:r>
    </w:p>
    <w:p w14:paraId="0E7D6B8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ascii="楷体" w:hAnsi="楷体" w:eastAsia="楷体" w:cs="宋体"/>
          <w:kern w:val="0"/>
          <w:sz w:val="24"/>
        </w:rPr>
        <w:t>①</w:t>
      </w:r>
      <w:r>
        <w:rPr>
          <w:rFonts w:hint="eastAsia" w:ascii="楷体" w:hAnsi="楷体" w:eastAsia="楷体" w:cs="宋体"/>
          <w:kern w:val="0"/>
          <w:sz w:val="24"/>
        </w:rPr>
        <w:t>一年级学业成绩以录取综合成绩为依据。</w:t>
      </w:r>
    </w:p>
    <w:p w14:paraId="06671E0E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ascii="楷体" w:hAnsi="楷体" w:eastAsia="楷体" w:cs="宋体"/>
          <w:kern w:val="0"/>
          <w:sz w:val="24"/>
        </w:rPr>
        <w:t>②</w:t>
      </w:r>
      <w:r>
        <w:rPr>
          <w:rFonts w:hint="eastAsia" w:ascii="楷体" w:hAnsi="楷体" w:eastAsia="楷体" w:cs="宋体"/>
          <w:kern w:val="0"/>
          <w:sz w:val="24"/>
        </w:rPr>
        <w:t>其他年级学业成绩是指学生在培养过程中所得公共学位课、专业学位课和选修课的成绩。采用百分制记分的，按课程实际成绩计入；采用非百分制记分的，按优秀＝95分、良好＝80分、中等＝70分、合格＝60分、不合格＝40分标准换算成百分制。学业成绩采用加权平均计算，计算公式为：</w:t>
      </w:r>
    </w:p>
    <w:p w14:paraId="3AA40F34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学业成绩（B1）</w:t>
      </w:r>
      <w:r>
        <w:rPr>
          <w:rFonts w:ascii="楷体" w:hAnsi="楷体" w:eastAsia="楷体" w:cs="宋体"/>
          <w:kern w:val="0"/>
          <w:sz w:val="24"/>
        </w:rPr>
        <w:t>=</w:t>
      </w:r>
      <w:r>
        <w:rPr>
          <w:rFonts w:hint="eastAsia" w:ascii="楷体" w:hAnsi="楷体" w:eastAsia="楷体" w:cs="宋体"/>
          <w:kern w:val="0"/>
          <w:sz w:val="24"/>
        </w:rPr>
        <w:t>Σ（单科成绩×学分）</w:t>
      </w:r>
      <w:r>
        <w:rPr>
          <w:rFonts w:ascii="楷体" w:hAnsi="楷体" w:eastAsia="楷体" w:cs="宋体"/>
          <w:kern w:val="0"/>
          <w:sz w:val="24"/>
        </w:rPr>
        <w:t>/</w:t>
      </w:r>
      <w:r>
        <w:rPr>
          <w:rFonts w:hint="eastAsia" w:ascii="楷体" w:hAnsi="楷体" w:eastAsia="楷体" w:cs="宋体"/>
          <w:kern w:val="0"/>
          <w:sz w:val="24"/>
        </w:rPr>
        <w:t>学年总学分。</w:t>
      </w:r>
    </w:p>
    <w:p w14:paraId="159F94DA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（2）学位论文开题报告（B2）</w:t>
      </w:r>
    </w:p>
    <w:p w14:paraId="561AEA56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开题成绩优秀的计90分，合格的计80分，参加二次开题合格的计60分，二次开题不合格的计0分。</w:t>
      </w:r>
    </w:p>
    <w:p w14:paraId="0ADDA511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7FA68AF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（3）培养过程中期考核（B3）</w:t>
      </w:r>
    </w:p>
    <w:p w14:paraId="47B6598F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根据《吉首大学研究生中期考核实施办法》，中期考核通过的计80分，中期考核未通过计0分。</w:t>
      </w:r>
    </w:p>
    <w:p w14:paraId="55E691E1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2.课程与论文评价加减分（B4）</w:t>
      </w:r>
    </w:p>
    <w:p w14:paraId="29D9361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（1）有下列情形之一者，课程与论文评价相应加分：</w:t>
      </w:r>
    </w:p>
    <w:p w14:paraId="43588FCB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①英语CET-6得分425分及以上、公共英语等级5级、雅思6.5及以上或托福60分及以上的加1分，达到加分条件后可在不同年度多次加分，但不同考试类别不重复加分。</w:t>
      </w:r>
    </w:p>
    <w:p w14:paraId="61DB5EB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②推免生在研一综合测评中课程与论文成绩计100分。</w:t>
      </w:r>
    </w:p>
    <w:p w14:paraId="770C28C5">
      <w:pPr>
        <w:widowControl/>
        <w:spacing w:line="300" w:lineRule="auto"/>
        <w:ind w:left="210" w:firstLine="240" w:firstLineChars="1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</w:t>
      </w:r>
      <w:r>
        <w:rPr>
          <w:rFonts w:ascii="楷体" w:hAnsi="楷体" w:eastAsia="楷体" w:cs="宋体"/>
          <w:kern w:val="0"/>
          <w:sz w:val="24"/>
        </w:rPr>
        <w:t>2</w:t>
      </w:r>
      <w:r>
        <w:rPr>
          <w:rFonts w:hint="eastAsia" w:ascii="楷体" w:hAnsi="楷体" w:eastAsia="楷体" w:cs="宋体"/>
          <w:kern w:val="0"/>
          <w:sz w:val="24"/>
        </w:rPr>
        <w:t>）有下列情形之一者，课程与论文评价相应减分：</w:t>
      </w:r>
    </w:p>
    <w:p w14:paraId="65E32764">
      <w:pPr>
        <w:widowControl/>
        <w:spacing w:line="300" w:lineRule="auto"/>
        <w:ind w:left="210" w:firstLine="240" w:firstLineChars="1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①公共学位课、专业学位课和选修课补考、重修，每门扣5分。</w:t>
      </w:r>
    </w:p>
    <w:p w14:paraId="6FF763AE">
      <w:pPr>
        <w:widowControl/>
        <w:spacing w:line="300" w:lineRule="auto"/>
        <w:ind w:left="210" w:firstLine="240" w:firstLineChars="1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 xml:space="preserve">②旷课每次扣1分，以学校和学院通报的查课记录为准。 </w:t>
      </w:r>
    </w:p>
    <w:p w14:paraId="46918164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（3）有下列情形之一者，课程与论文评价认定为不合格：</w:t>
      </w:r>
    </w:p>
    <w:p w14:paraId="76EBCD9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①存在课程考试舞弊等违纪现象者，当年课程与论文评价认定为不合格。</w:t>
      </w:r>
    </w:p>
    <w:p w14:paraId="1C4E276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②学年内累计旷课超过11学时或擅自离校超过2天及以上者，当年课程与论文评价认定为不合格。</w:t>
      </w:r>
    </w:p>
    <w:p w14:paraId="50493AD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③在科学研究或实验、实践工作中造成重大事故或重大损失者，当年课程与论文评价认定为不合格。</w:t>
      </w:r>
    </w:p>
    <w:p w14:paraId="3CD33F86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3.课程与论文评价计算方式</w:t>
      </w:r>
    </w:p>
    <w:p w14:paraId="6EE28C11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一年级：课程与论文评价成绩（B）=B1（入学考试综合成绩）＋B4（加减分）</w:t>
      </w:r>
    </w:p>
    <w:p w14:paraId="1E36F698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二年级：课程与论文评价成绩（B）=B1（一年级学业成绩）＋B4（加减分）</w:t>
      </w:r>
    </w:p>
    <w:p w14:paraId="3676DF0A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三年级：课程与论文评价成绩（B）=[B1（一年级学业成绩）＋B2（开题报告评价）＋B3（培养过程中期考核评价）]/3＋B4（加减分）</w:t>
      </w:r>
    </w:p>
    <w:p w14:paraId="6F7A9F53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课程与论文评价成绩（B）最终得分不得超过该项的满分。</w:t>
      </w:r>
    </w:p>
    <w:p w14:paraId="28F5532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16A58E83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（三）科研与创新素养评价（C）</w:t>
      </w:r>
    </w:p>
    <w:p w14:paraId="7A1EDF9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科研与创新素养评价主要考查学生科研与创新实践等方面的素养，从学术论文、科研项目、专业竞赛、发明专利、其他学术成果和学术活动等六个方面进行评价。科研与创新素养评价由基础分和加减分组成。</w:t>
      </w:r>
    </w:p>
    <w:p w14:paraId="6C72BE4B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1.科研与创新素养评价内容</w:t>
      </w:r>
    </w:p>
    <w:p w14:paraId="7F17C08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(1)学术论文能力评价（C1）</w:t>
      </w:r>
    </w:p>
    <w:p w14:paraId="7C6FD830">
      <w:pPr>
        <w:widowControl/>
        <w:spacing w:line="300" w:lineRule="auto"/>
        <w:ind w:firstLine="480" w:firstLineChars="200"/>
        <w:jc w:val="center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表</w:t>
      </w:r>
      <w:r>
        <w:rPr>
          <w:rFonts w:ascii="楷体" w:hAnsi="楷体" w:eastAsia="楷体" w:cs="宋体"/>
          <w:kern w:val="0"/>
          <w:sz w:val="24"/>
        </w:rPr>
        <w:t xml:space="preserve">3 </w:t>
      </w:r>
      <w:r>
        <w:rPr>
          <w:rFonts w:hint="eastAsia" w:ascii="楷体" w:hAnsi="楷体" w:eastAsia="楷体" w:cs="宋体"/>
          <w:kern w:val="0"/>
          <w:sz w:val="24"/>
        </w:rPr>
        <w:t>学术论文加分标准</w:t>
      </w:r>
    </w:p>
    <w:p w14:paraId="160D9855">
      <w:pPr>
        <w:widowControl/>
        <w:spacing w:line="300" w:lineRule="auto"/>
        <w:rPr>
          <w:rFonts w:ascii="楷体" w:hAnsi="楷体" w:eastAsia="楷体" w:cs="宋体"/>
          <w:kern w:val="0"/>
          <w:sz w:val="24"/>
        </w:rPr>
      </w:pPr>
      <w:r>
        <w:drawing>
          <wp:inline distT="0" distB="0" distL="0" distR="0">
            <wp:extent cx="5615940" cy="2712085"/>
            <wp:effectExtent l="0" t="0" r="381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71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8A47A">
      <w:pPr>
        <w:widowControl/>
        <w:spacing w:line="300" w:lineRule="auto"/>
        <w:ind w:firstLine="48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注：</w:t>
      </w:r>
    </w:p>
    <w:p w14:paraId="0880A4FB">
      <w:pPr>
        <w:widowControl/>
        <w:spacing w:line="300" w:lineRule="auto"/>
        <w:ind w:firstLine="480"/>
        <w:rPr>
          <w:rFonts w:ascii="楷体" w:hAnsi="楷体" w:eastAsia="楷体" w:cs="宋体"/>
          <w:color w:val="auto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</w:t>
      </w:r>
      <w:r>
        <w:rPr>
          <w:rFonts w:hint="eastAsia" w:ascii="楷体" w:hAnsi="楷体" w:eastAsia="楷体" w:cs="宋体"/>
          <w:color w:val="auto"/>
          <w:kern w:val="0"/>
          <w:sz w:val="24"/>
        </w:rPr>
        <w:t>学术论文需以吉首大学为第一署名单位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或者合作署名单位</w:t>
      </w:r>
      <w:r>
        <w:rPr>
          <w:rFonts w:hint="eastAsia" w:ascii="楷体" w:hAnsi="楷体" w:eastAsia="楷体" w:cs="宋体"/>
          <w:color w:val="auto"/>
          <w:kern w:val="0"/>
          <w:sz w:val="24"/>
        </w:rPr>
        <w:t>，方可加分。</w:t>
      </w:r>
    </w:p>
    <w:p w14:paraId="36200D89">
      <w:pPr>
        <w:widowControl/>
        <w:spacing w:line="300" w:lineRule="auto"/>
        <w:ind w:firstLine="480"/>
        <w:rPr>
          <w:rFonts w:hint="default" w:ascii="楷体" w:hAnsi="楷体" w:eastAsia="楷体" w:cs="宋体"/>
          <w:color w:val="FF0000"/>
          <w:kern w:val="0"/>
          <w:sz w:val="24"/>
          <w:highlight w:val="yellow"/>
          <w:lang w:val="en-US" w:eastAsia="zh-CN"/>
        </w:rPr>
      </w:pPr>
      <w:r>
        <w:rPr>
          <w:rFonts w:hint="eastAsia" w:ascii="楷体" w:hAnsi="楷体" w:eastAsia="楷体" w:cs="宋体"/>
          <w:color w:val="auto"/>
          <w:kern w:val="0"/>
          <w:sz w:val="24"/>
          <w:highlight w:val="none"/>
        </w:rPr>
        <w:t>②SCI论文分区以论文发表当年中科院大类分区为准，若当年中科院分区未出以前一年中科院大类分区为准，中文期刊分级以《吉首大学高质量学术论文认定及期刊分级办法（试行）》为准，表中所指学术论文包括研究性论文和综述。</w:t>
      </w:r>
    </w:p>
    <w:p w14:paraId="2E135A9B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③以第一作者发表的SCI和CSCD不限篇数，非SCI且非CSCD论文和导师一作且本人二作论文累计限2篇，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排名第三及以后的论文累计限2篇，</w:t>
      </w:r>
      <w:r>
        <w:rPr>
          <w:rFonts w:hint="eastAsia" w:ascii="楷体" w:hAnsi="楷体" w:eastAsia="楷体" w:cs="宋体"/>
          <w:kern w:val="0"/>
          <w:sz w:val="24"/>
        </w:rPr>
        <w:t>超出的论文不计分。</w:t>
      </w:r>
    </w:p>
    <w:p w14:paraId="0401F474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ascii="楷体" w:hAnsi="楷体" w:eastAsia="楷体" w:cs="宋体"/>
          <w:kern w:val="0"/>
          <w:sz w:val="24"/>
        </w:rPr>
        <w:t>④</w:t>
      </w:r>
      <w:r>
        <w:rPr>
          <w:rFonts w:hint="eastAsia" w:ascii="楷体" w:hAnsi="楷体" w:eastAsia="楷体" w:cs="宋体"/>
          <w:kern w:val="0"/>
          <w:sz w:val="24"/>
        </w:rPr>
        <w:t>共同第一作者排</w:t>
      </w:r>
      <w:r>
        <w:rPr>
          <w:rFonts w:hint="eastAsia" w:ascii="楷体" w:hAnsi="楷体" w:eastAsia="楷体" w:cs="宋体"/>
          <w:kern w:val="0"/>
          <w:sz w:val="24"/>
          <w:lang w:val="en-US" w:eastAsia="zh-CN"/>
        </w:rPr>
        <w:t>第一</w:t>
      </w:r>
      <w:r>
        <w:rPr>
          <w:rFonts w:hint="eastAsia" w:ascii="楷体" w:hAnsi="楷体" w:eastAsia="楷体" w:cs="宋体"/>
          <w:kern w:val="0"/>
          <w:sz w:val="24"/>
        </w:rPr>
        <w:t>的按60%加分，排第二的按40%加分；学生第二作者（且导师或副导师第一作者）的按60%加分</w:t>
      </w:r>
      <w:r>
        <w:rPr>
          <w:rFonts w:hint="eastAsia" w:ascii="楷体" w:hAnsi="楷体" w:eastAsia="楷体" w:cs="宋体"/>
          <w:kern w:val="0"/>
          <w:sz w:val="24"/>
          <w:lang w:eastAsia="zh-CN"/>
        </w:rPr>
        <w:t>，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排名第三的</w:t>
      </w:r>
      <w:r>
        <w:rPr>
          <w:rFonts w:hint="eastAsia" w:ascii="楷体" w:hAnsi="楷体" w:eastAsia="楷体" w:cs="宋体"/>
          <w:color w:val="auto"/>
          <w:kern w:val="0"/>
          <w:sz w:val="24"/>
        </w:rPr>
        <w:t>按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2</w:t>
      </w:r>
      <w:r>
        <w:rPr>
          <w:rFonts w:hint="eastAsia" w:ascii="楷体" w:hAnsi="楷体" w:eastAsia="楷体" w:cs="宋体"/>
          <w:color w:val="auto"/>
          <w:kern w:val="0"/>
          <w:sz w:val="24"/>
        </w:rPr>
        <w:t>0%加分</w:t>
      </w:r>
      <w:r>
        <w:rPr>
          <w:rFonts w:hint="eastAsia" w:ascii="楷体" w:hAnsi="楷体" w:eastAsia="楷体" w:cs="宋体"/>
          <w:color w:val="auto"/>
          <w:kern w:val="0"/>
          <w:sz w:val="24"/>
          <w:lang w:eastAsia="zh-CN"/>
        </w:rPr>
        <w:t>，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排名第四及以后的</w:t>
      </w:r>
      <w:r>
        <w:rPr>
          <w:rFonts w:hint="eastAsia" w:ascii="楷体" w:hAnsi="楷体" w:eastAsia="楷体" w:cs="宋体"/>
          <w:color w:val="auto"/>
          <w:kern w:val="0"/>
          <w:sz w:val="24"/>
        </w:rPr>
        <w:t>按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1</w:t>
      </w:r>
      <w:r>
        <w:rPr>
          <w:rFonts w:hint="eastAsia" w:ascii="楷体" w:hAnsi="楷体" w:eastAsia="楷体" w:cs="宋体"/>
          <w:color w:val="auto"/>
          <w:kern w:val="0"/>
          <w:sz w:val="24"/>
        </w:rPr>
        <w:t>0%加分</w:t>
      </w:r>
      <w:r>
        <w:rPr>
          <w:rFonts w:hint="eastAsia" w:ascii="楷体" w:hAnsi="楷体" w:eastAsia="楷体" w:cs="宋体"/>
          <w:color w:val="auto"/>
          <w:kern w:val="0"/>
          <w:sz w:val="24"/>
          <w:lang w:eastAsia="zh-CN"/>
        </w:rPr>
        <w:t>（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导师或副导师不计入学生排名</w:t>
      </w:r>
      <w:r>
        <w:rPr>
          <w:rFonts w:hint="eastAsia" w:ascii="楷体" w:hAnsi="楷体" w:eastAsia="楷体" w:cs="宋体"/>
          <w:color w:val="auto"/>
          <w:kern w:val="0"/>
          <w:sz w:val="24"/>
          <w:lang w:eastAsia="zh-CN"/>
        </w:rPr>
        <w:t>）</w:t>
      </w:r>
      <w:r>
        <w:rPr>
          <w:rFonts w:hint="eastAsia" w:ascii="楷体" w:hAnsi="楷体" w:eastAsia="楷体" w:cs="宋体"/>
          <w:kern w:val="0"/>
          <w:sz w:val="24"/>
        </w:rPr>
        <w:t>。</w:t>
      </w:r>
    </w:p>
    <w:p w14:paraId="5A36BBB1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⑤论文必须正式见刊。有纸质期刊的以纸质期刊时间为准；无纸质期刊的电子刊物，以正式发表为准。</w:t>
      </w:r>
    </w:p>
    <w:p w14:paraId="14EB7FD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⑥</w:t>
      </w:r>
      <w:r>
        <w:rPr>
          <w:rFonts w:hint="eastAsia" w:ascii="楷体" w:hAnsi="楷体" w:eastAsia="楷体" w:cs="宋体"/>
          <w:kern w:val="0"/>
          <w:sz w:val="24"/>
        </w:rPr>
        <w:t>同一篇论文被多次收录或转载，只计一次最高分。</w:t>
      </w:r>
    </w:p>
    <w:p w14:paraId="665BCA5F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 xml:space="preserve">(2)科研项目评价（C2）  </w:t>
      </w:r>
    </w:p>
    <w:p w14:paraId="41AB027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科研项目以立项文件及结题证明为依据，主持项目不限，参与项目不计分，项目主持人的第一单位必须署名为吉首大学。</w:t>
      </w:r>
    </w:p>
    <w:p w14:paraId="7F8823F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①立项分值：主持立项省级及以上科研项目加1</w:t>
      </w:r>
      <w:r>
        <w:rPr>
          <w:rFonts w:ascii="楷体" w:hAnsi="楷体" w:eastAsia="楷体" w:cs="宋体"/>
          <w:kern w:val="0"/>
          <w:sz w:val="24"/>
        </w:rPr>
        <w:t>0</w:t>
      </w:r>
      <w:r>
        <w:rPr>
          <w:rFonts w:hint="eastAsia" w:ascii="楷体" w:hAnsi="楷体" w:eastAsia="楷体" w:cs="宋体"/>
          <w:kern w:val="0"/>
          <w:sz w:val="24"/>
        </w:rPr>
        <w:t>分，主持立项州级和校级科研项目加5分，</w:t>
      </w:r>
      <w:r>
        <w:rPr>
          <w:rFonts w:hint="eastAsia" w:ascii="楷体" w:hAnsi="楷体" w:eastAsia="楷体" w:cs="宋体"/>
          <w:color w:val="auto"/>
          <w:kern w:val="0"/>
          <w:sz w:val="24"/>
        </w:rPr>
        <w:t>主持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院</w:t>
      </w:r>
      <w:r>
        <w:rPr>
          <w:rFonts w:hint="eastAsia" w:ascii="楷体" w:hAnsi="楷体" w:eastAsia="楷体" w:cs="宋体"/>
          <w:color w:val="auto"/>
          <w:kern w:val="0"/>
          <w:sz w:val="24"/>
        </w:rPr>
        <w:t>级科研项目加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2</w:t>
      </w:r>
      <w:r>
        <w:rPr>
          <w:rFonts w:hint="eastAsia" w:ascii="楷体" w:hAnsi="楷体" w:eastAsia="楷体" w:cs="宋体"/>
          <w:color w:val="auto"/>
          <w:kern w:val="0"/>
          <w:sz w:val="24"/>
        </w:rPr>
        <w:t>分</w:t>
      </w:r>
      <w:r>
        <w:rPr>
          <w:rFonts w:hint="eastAsia" w:ascii="楷体" w:hAnsi="楷体" w:eastAsia="楷体" w:cs="宋体"/>
          <w:color w:val="auto"/>
          <w:kern w:val="0"/>
          <w:sz w:val="24"/>
          <w:lang w:eastAsia="zh-CN"/>
        </w:rPr>
        <w:t>，</w:t>
      </w:r>
      <w:r>
        <w:rPr>
          <w:rFonts w:hint="eastAsia" w:ascii="楷体" w:hAnsi="楷体" w:eastAsia="楷体" w:cs="宋体"/>
          <w:kern w:val="0"/>
          <w:sz w:val="24"/>
        </w:rPr>
        <w:t>项目立项当年一次性计算。</w:t>
      </w:r>
    </w:p>
    <w:p w14:paraId="04F873D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②结题分值：主持省级及以上科研项目结题加</w:t>
      </w:r>
      <w:r>
        <w:rPr>
          <w:rFonts w:ascii="楷体" w:hAnsi="楷体" w:eastAsia="楷体" w:cs="宋体"/>
          <w:kern w:val="0"/>
          <w:sz w:val="24"/>
        </w:rPr>
        <w:t>5</w:t>
      </w:r>
      <w:r>
        <w:rPr>
          <w:rFonts w:hint="eastAsia" w:ascii="楷体" w:hAnsi="楷体" w:eastAsia="楷体" w:cs="宋体"/>
          <w:kern w:val="0"/>
          <w:sz w:val="24"/>
        </w:rPr>
        <w:t>分，主持州级和校级科研项目结题加2</w:t>
      </w:r>
      <w:r>
        <w:rPr>
          <w:rFonts w:ascii="楷体" w:hAnsi="楷体" w:eastAsia="楷体" w:cs="宋体"/>
          <w:kern w:val="0"/>
          <w:sz w:val="24"/>
        </w:rPr>
        <w:t>.</w:t>
      </w:r>
      <w:r>
        <w:rPr>
          <w:rFonts w:hint="eastAsia" w:ascii="楷体" w:hAnsi="楷体" w:eastAsia="楷体" w:cs="宋体"/>
          <w:kern w:val="0"/>
          <w:sz w:val="24"/>
        </w:rPr>
        <w:t>5分，</w:t>
      </w:r>
      <w:r>
        <w:rPr>
          <w:rFonts w:hint="eastAsia" w:ascii="楷体" w:hAnsi="楷体" w:eastAsia="楷体" w:cs="宋体"/>
          <w:color w:val="auto"/>
          <w:kern w:val="0"/>
          <w:sz w:val="24"/>
        </w:rPr>
        <w:t>主持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院</w:t>
      </w:r>
      <w:r>
        <w:rPr>
          <w:rFonts w:hint="eastAsia" w:ascii="楷体" w:hAnsi="楷体" w:eastAsia="楷体" w:cs="宋体"/>
          <w:color w:val="auto"/>
          <w:kern w:val="0"/>
          <w:sz w:val="24"/>
        </w:rPr>
        <w:t>级科研项目加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1</w:t>
      </w:r>
      <w:r>
        <w:rPr>
          <w:rFonts w:hint="eastAsia" w:ascii="楷体" w:hAnsi="楷体" w:eastAsia="楷体" w:cs="宋体"/>
          <w:color w:val="auto"/>
          <w:kern w:val="0"/>
          <w:sz w:val="24"/>
        </w:rPr>
        <w:t>分</w:t>
      </w:r>
      <w:r>
        <w:rPr>
          <w:rFonts w:hint="eastAsia" w:ascii="楷体" w:hAnsi="楷体" w:eastAsia="楷体" w:cs="宋体"/>
          <w:color w:val="auto"/>
          <w:kern w:val="0"/>
          <w:sz w:val="24"/>
          <w:lang w:eastAsia="zh-CN"/>
        </w:rPr>
        <w:t>，</w:t>
      </w:r>
      <w:r>
        <w:rPr>
          <w:rFonts w:hint="eastAsia" w:ascii="楷体" w:hAnsi="楷体" w:eastAsia="楷体" w:cs="宋体"/>
          <w:kern w:val="0"/>
          <w:sz w:val="24"/>
        </w:rPr>
        <w:t>项目结题当年一次性计算。延期结题的项目不计结题分值。</w:t>
      </w:r>
    </w:p>
    <w:p w14:paraId="16D1C08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(3)学科竞赛评价（C3）</w:t>
      </w:r>
    </w:p>
    <w:p w14:paraId="6A7BA2D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①竞赛奖项限报2项最具代表性的奖励，超出的项目不计分。</w:t>
      </w:r>
    </w:p>
    <w:p w14:paraId="2DCBD756">
      <w:pPr>
        <w:widowControl/>
        <w:spacing w:line="300" w:lineRule="auto"/>
        <w:ind w:firstLine="480" w:firstLineChars="200"/>
        <w:jc w:val="left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②共同参与合作的获奖分值根据负责人和参与人员按比例分配，具体分配比例为：二人的分别为70%、30%；三人的分别为50%、30%、20%；四人的分别为50%、30%、10%、10%；五人的分别为50%、20%、10%、10%、10%，排名在第五以后的不予计分。所获奖项为团体奖，但排名不分先后的，所有获奖成员平均分配最高加分分值。同一项目重复获奖的，按最高类别计算。</w:t>
      </w:r>
    </w:p>
    <w:p w14:paraId="583A628D">
      <w:pPr>
        <w:widowControl/>
        <w:spacing w:line="300" w:lineRule="auto"/>
        <w:ind w:firstLine="480" w:firstLineChars="200"/>
        <w:jc w:val="center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表</w:t>
      </w:r>
      <w:r>
        <w:rPr>
          <w:rFonts w:ascii="楷体" w:hAnsi="楷体" w:eastAsia="楷体" w:cs="宋体"/>
          <w:kern w:val="0"/>
          <w:sz w:val="24"/>
        </w:rPr>
        <w:t xml:space="preserve">4 </w:t>
      </w:r>
      <w:r>
        <w:rPr>
          <w:rFonts w:hint="eastAsia" w:ascii="楷体" w:hAnsi="楷体" w:eastAsia="楷体" w:cs="宋体"/>
          <w:kern w:val="0"/>
          <w:sz w:val="24"/>
        </w:rPr>
        <w:t>学科竞赛加分标准</w:t>
      </w:r>
    </w:p>
    <w:tbl>
      <w:tblPr>
        <w:tblStyle w:val="12"/>
        <w:tblW w:w="6764" w:type="dxa"/>
        <w:jc w:val="center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6"/>
        <w:gridCol w:w="1504"/>
        <w:gridCol w:w="1974"/>
        <w:gridCol w:w="1660"/>
      </w:tblGrid>
      <w:tr w14:paraId="165367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  <w:jc w:val="center"/>
        </w:trPr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77D2DE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获奖级别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80324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国家级A</w:t>
            </w:r>
            <w:r>
              <w:rPr>
                <w:rFonts w:ascii="楷体" w:hAnsi="楷体" w:eastAsia="楷体" w:cs="宋体"/>
                <w:kern w:val="0"/>
                <w:sz w:val="24"/>
              </w:rPr>
              <w:t>/B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/C</w:t>
            </w:r>
          </w:p>
        </w:tc>
        <w:tc>
          <w:tcPr>
            <w:tcW w:w="19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F04DC7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省、部级A</w:t>
            </w:r>
            <w:r>
              <w:rPr>
                <w:rFonts w:ascii="楷体" w:hAnsi="楷体" w:eastAsia="楷体" w:cs="宋体"/>
                <w:kern w:val="0"/>
                <w:sz w:val="24"/>
              </w:rPr>
              <w:t>/B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/C</w:t>
            </w:r>
          </w:p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697CB1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州、校级</w:t>
            </w:r>
          </w:p>
        </w:tc>
      </w:tr>
      <w:tr w14:paraId="6C6B8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tblCellSpacing w:w="0" w:type="dxa"/>
          <w:jc w:val="center"/>
        </w:trPr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AB69A0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一等或特等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9A9C84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8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0/</w:t>
            </w:r>
            <w:r>
              <w:rPr>
                <w:rFonts w:ascii="楷体" w:hAnsi="楷体" w:eastAsia="楷体" w:cs="宋体"/>
                <w:kern w:val="0"/>
                <w:sz w:val="24"/>
              </w:rPr>
              <w:t>60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/40</w:t>
            </w:r>
          </w:p>
        </w:tc>
        <w:tc>
          <w:tcPr>
            <w:tcW w:w="19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DB44E8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40/30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/20</w:t>
            </w:r>
          </w:p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541351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10</w:t>
            </w:r>
          </w:p>
        </w:tc>
      </w:tr>
      <w:tr w14:paraId="41483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  <w:jc w:val="center"/>
        </w:trPr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717B34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二等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90A86B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40/30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/20</w:t>
            </w:r>
          </w:p>
        </w:tc>
        <w:tc>
          <w:tcPr>
            <w:tcW w:w="19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0A8D42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2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0</w:t>
            </w:r>
            <w:r>
              <w:rPr>
                <w:rFonts w:ascii="楷体" w:hAnsi="楷体" w:eastAsia="楷体" w:cs="宋体"/>
                <w:kern w:val="0"/>
                <w:sz w:val="24"/>
              </w:rPr>
              <w:t>/15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/10</w:t>
            </w:r>
          </w:p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A41258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5</w:t>
            </w:r>
          </w:p>
        </w:tc>
      </w:tr>
      <w:tr w14:paraId="0B973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  <w:jc w:val="center"/>
        </w:trPr>
        <w:tc>
          <w:tcPr>
            <w:tcW w:w="1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389CB3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三等</w:t>
            </w:r>
          </w:p>
        </w:tc>
        <w:tc>
          <w:tcPr>
            <w:tcW w:w="15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2B69CE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20/15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/10</w:t>
            </w:r>
          </w:p>
        </w:tc>
        <w:tc>
          <w:tcPr>
            <w:tcW w:w="19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BE324E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10/7.5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/5</w:t>
            </w:r>
          </w:p>
        </w:tc>
        <w:tc>
          <w:tcPr>
            <w:tcW w:w="1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1F6C1B">
            <w:pPr>
              <w:widowControl/>
              <w:tabs>
                <w:tab w:val="left" w:pos="360"/>
              </w:tabs>
              <w:spacing w:line="300" w:lineRule="auto"/>
              <w:jc w:val="center"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ascii="楷体" w:hAnsi="楷体" w:eastAsia="楷体" w:cs="宋体"/>
                <w:kern w:val="0"/>
                <w:sz w:val="24"/>
              </w:rPr>
              <w:t>2.5</w:t>
            </w:r>
          </w:p>
        </w:tc>
      </w:tr>
    </w:tbl>
    <w:p w14:paraId="3BE29AE4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(4)发明专利评价（C4）</w:t>
      </w:r>
    </w:p>
    <w:p w14:paraId="6E7B8E3B">
      <w:pPr>
        <w:widowControl/>
        <w:spacing w:line="300" w:lineRule="auto"/>
        <w:ind w:firstLine="480" w:firstLineChars="200"/>
        <w:rPr>
          <w:rFonts w:ascii="楷体" w:hAnsi="楷体" w:eastAsia="楷体" w:cs="宋体"/>
          <w:color w:val="auto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①以吉首大学为第一授权单位获得国家发明专利权的，加分总值为20分；以吉首大学为第一授权单位获得外观设计、实用新型专利及软件著作权的，加分总值为10分；申请人应该为第一学生发明人，且排名前五</w:t>
      </w:r>
      <w:r>
        <w:rPr>
          <w:rFonts w:hint="eastAsia" w:ascii="楷体" w:hAnsi="楷体" w:eastAsia="楷体" w:cs="宋体"/>
          <w:kern w:val="0"/>
          <w:sz w:val="24"/>
          <w:lang w:eastAsia="zh-CN"/>
        </w:rPr>
        <w:t>，</w:t>
      </w:r>
      <w:r>
        <w:rPr>
          <w:rFonts w:hint="eastAsia" w:ascii="楷体" w:hAnsi="楷体" w:eastAsia="楷体" w:cs="宋体"/>
          <w:color w:val="auto"/>
          <w:kern w:val="0"/>
          <w:sz w:val="24"/>
          <w:lang w:val="en-US" w:eastAsia="zh-CN"/>
        </w:rPr>
        <w:t>以吉首大学为合作单位获得国家发明专利的，发明人按降低一个名次后的排名加分</w:t>
      </w:r>
      <w:r>
        <w:rPr>
          <w:rFonts w:hint="eastAsia" w:ascii="楷体" w:hAnsi="楷体" w:eastAsia="楷体" w:cs="宋体"/>
          <w:color w:val="auto"/>
          <w:kern w:val="0"/>
          <w:sz w:val="24"/>
        </w:rPr>
        <w:t>。</w:t>
      </w:r>
    </w:p>
    <w:p w14:paraId="20D65D9C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②发明人为一人的按100%加分，发明人为二人的排第一计70%，排第二计30%；为三人的排第一计50%、排第二计30%、排第三计20%；为四人的排第一计50%、排第二计30%、排第三计10%、排第四计10%；为五人的排第一计50%、排第二计20、排第三计10%、排第四计10%、排第五计10%。</w:t>
      </w:r>
    </w:p>
    <w:p w14:paraId="0736991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②限报2项代表性的专利。</w:t>
      </w:r>
    </w:p>
    <w:p w14:paraId="3D72B34B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(5)其他学术成果评价（C5）</w:t>
      </w:r>
    </w:p>
    <w:p w14:paraId="7EA43CD8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以吉首大学为第一署名单位的个人专著、教育部统编教材、省级统编教材、一般教材、译著等学术成果；主编加10分，副主编加5分，不计排名，限报2项。</w:t>
      </w:r>
    </w:p>
    <w:p w14:paraId="0E1D128F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(6)其他科研与创新实践活动评价（C6）</w:t>
      </w:r>
    </w:p>
    <w:p w14:paraId="5466A11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 xml:space="preserve">向校级及以上学术会议投论文全文或文摘被收录的每篇加1分，限第一作者，限5篇。 </w:t>
      </w:r>
    </w:p>
    <w:p w14:paraId="187BE1F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3.科研与创新素养评价加减分（C7）</w:t>
      </w:r>
    </w:p>
    <w:p w14:paraId="4B71031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（1）有下列情形之一者，科研与创新素养评价予以相应加分：</w:t>
      </w:r>
    </w:p>
    <w:p w14:paraId="155B7C3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①在重大科学研究中作出重要贡献或发表具有重大影响力的学术成果，由各学院综合研究确定加分分值。</w:t>
      </w:r>
    </w:p>
    <w:p w14:paraId="3D42557E">
      <w:pPr>
        <w:widowControl/>
        <w:spacing w:line="300" w:lineRule="auto"/>
        <w:ind w:firstLine="480" w:firstLineChars="200"/>
        <w:rPr>
          <w:rFonts w:hint="eastAsia" w:ascii="楷体" w:hAnsi="楷体" w:eastAsia="楷体" w:cs="宋体"/>
          <w:color w:val="auto"/>
          <w:kern w:val="0"/>
          <w:sz w:val="24"/>
          <w:highlight w:val="none"/>
        </w:rPr>
      </w:pPr>
      <w:r>
        <w:rPr>
          <w:rFonts w:hint="eastAsia" w:ascii="楷体" w:hAnsi="楷体" w:eastAsia="楷体" w:cs="宋体"/>
          <w:kern w:val="0"/>
          <w:sz w:val="24"/>
        </w:rPr>
        <w:t>②</w:t>
      </w:r>
      <w:r>
        <w:rPr>
          <w:rFonts w:hint="eastAsia" w:ascii="楷体" w:hAnsi="楷体" w:eastAsia="楷体" w:cs="宋体"/>
          <w:color w:val="auto"/>
          <w:kern w:val="0"/>
          <w:sz w:val="24"/>
          <w:highlight w:val="none"/>
        </w:rPr>
        <w:t>在具有重大影响力的赛事中取得优异成绩，由各学院综合研究确定加分分值。</w:t>
      </w:r>
    </w:p>
    <w:p w14:paraId="04D04A7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③对学校发展具有特殊贡献的项目，由各学院综合研究确定加分分值。</w:t>
      </w:r>
    </w:p>
    <w:p w14:paraId="36F159EC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（2）有下列情形之一者，科研与创新素养评价予以相应减分：</w:t>
      </w:r>
    </w:p>
    <w:p w14:paraId="35CB8236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①存在抄袭剽窃、弄虚作假等学术不端行为，经查证属实者予以减分。</w:t>
      </w:r>
    </w:p>
    <w:p w14:paraId="6B487F7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②学院认定的其他减分项目。</w:t>
      </w:r>
    </w:p>
    <w:p w14:paraId="5F031196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4.科研与创新素养评价计算方式</w:t>
      </w:r>
    </w:p>
    <w:p w14:paraId="561F88EA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科研与创新素养成绩（C）＝C1＋C2＋C3＋C4＋C5＋C6＋C7（加减分）</w:t>
      </w:r>
    </w:p>
    <w:p w14:paraId="79A0728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原则上科研与创新素养成绩（C）最终得分不得超过该项的满分。</w:t>
      </w:r>
    </w:p>
    <w:p w14:paraId="1561FBE1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719541E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（四）体美劳育评价</w:t>
      </w:r>
    </w:p>
    <w:p w14:paraId="73ED8ED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体美劳育评价由文体美育素养、自我管理素养、社会实践与志愿活动、心理素养、劳动素养等五个方面的评价构成。</w:t>
      </w:r>
      <w:r>
        <w:rPr>
          <w:rFonts w:hint="eastAsia" w:ascii="楷体" w:hAnsi="楷体" w:eastAsia="楷体" w:cs="宋体"/>
          <w:color w:val="auto"/>
          <w:kern w:val="0"/>
          <w:sz w:val="24"/>
          <w:highlight w:val="none"/>
        </w:rPr>
        <w:t>基础分60分</w:t>
      </w:r>
      <w:r>
        <w:rPr>
          <w:rFonts w:hint="eastAsia" w:ascii="楷体" w:hAnsi="楷体" w:eastAsia="楷体" w:cs="宋体"/>
          <w:kern w:val="0"/>
          <w:sz w:val="24"/>
        </w:rPr>
        <w:t>，</w:t>
      </w:r>
      <w:r>
        <w:rPr>
          <w:rFonts w:hint="eastAsia" w:ascii="楷体" w:hAnsi="楷体" w:eastAsia="楷体" w:cs="宋体"/>
          <w:kern w:val="0"/>
          <w:sz w:val="24"/>
          <w:lang w:eastAsia="zh-CN"/>
        </w:rPr>
        <w:t>（</w:t>
      </w:r>
      <w:r>
        <w:rPr>
          <w:rFonts w:hint="eastAsia" w:ascii="楷体" w:hAnsi="楷体" w:eastAsia="楷体" w:cs="宋体"/>
          <w:kern w:val="0"/>
          <w:sz w:val="24"/>
        </w:rPr>
        <w:t>符合加分条件的加分。</w:t>
      </w:r>
    </w:p>
    <w:p w14:paraId="03CEB38E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1.文艺、体育、美育素养（D1）</w:t>
      </w:r>
    </w:p>
    <w:p w14:paraId="7358177C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参加学校及以上级别的文艺、体育、美育竞赛获奖的程度和效果，学院根据学生表现予以相应加分，加分分值上限不得超过该项满分。国家级一等奖15分。</w:t>
      </w:r>
    </w:p>
    <w:p w14:paraId="24DDEF3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5A182FB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2.学生自我管理素养（D2）</w:t>
      </w:r>
    </w:p>
    <w:p w14:paraId="7AE0C00B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主要评价学生在自我管理实践中的表现，学院根据学生在管理工作表现予以相应加分，加分分值上限不得超过体美劳育评价（D）满分的40%。校研究生会部长及以上、党支部副书记、班长、团支书、研究生助理加20分，党支部委员加10分；经考核小组考核合格的方予以加分。</w:t>
      </w:r>
    </w:p>
    <w:p w14:paraId="1E1A2142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7FA9142C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3.社会实践与志愿活动（D3）</w:t>
      </w:r>
    </w:p>
    <w:p w14:paraId="26B1771C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主要评价学生参加校级三下乡活动、学院及以上级别志愿活动（以学院记录为准）、社会志愿者活动（附社会组织出具的证明材料）的情况的，每次5分，限10分。</w:t>
      </w:r>
    </w:p>
    <w:p w14:paraId="6F734F8D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4.心理素养（D4）</w:t>
      </w:r>
    </w:p>
    <w:p w14:paraId="25AF759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根据学生是否客观、正确地认识、评价自己，有责任心，善于控制、调节情绪，有合作意识，乐观、向上的心理品质，与同学融洽相处等情况综合评价。评价细则由学院确定。</w:t>
      </w:r>
    </w:p>
    <w:p w14:paraId="0C796D13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3875DA8B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5.劳动素养（D5）</w:t>
      </w:r>
    </w:p>
    <w:p w14:paraId="4D1970A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以引导学生崇尚劳动、尊重劳动，培养敢吃苦的闯劲干劲、锤炼能吃苦的坚毅品格为目标。建立劳动清单制度，明确学生参加劳动的具体内容和要求，让学生在实践中养成热爱劳动的习惯，学会劳动、学会勤俭，形成吃苦耐劳的良好品格。评价细则由学院确定。宿舍卫生、实验室卫生、学校其他的劳动活动，以学校或政府的凭证为准。通报表扬的，每次加5分，限10分；通报批评的每次扣5分。参加创新创业竞赛活动但未获奖的、社会公益活动（提供凭证）等每项加5分，限1项。</w:t>
      </w:r>
    </w:p>
    <w:p w14:paraId="17F93A0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474F7639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6.体美劳育评价计算方式</w:t>
      </w:r>
    </w:p>
    <w:p w14:paraId="30364A4D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体美劳育评价成绩（D）＝D1＋D2＋D3＋D4＋D5</w:t>
      </w:r>
    </w:p>
    <w:p w14:paraId="63BC5BD7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体美劳育评价成绩（D）最终得分不得超过该项的满分。</w:t>
      </w:r>
    </w:p>
    <w:p w14:paraId="4355B9B5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4F8ECA27">
      <w:pPr>
        <w:widowControl/>
        <w:spacing w:line="300" w:lineRule="auto"/>
        <w:ind w:firstLine="482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b/>
          <w:bCs/>
          <w:kern w:val="0"/>
          <w:sz w:val="24"/>
        </w:rPr>
        <w:t>四、其他说明</w:t>
      </w:r>
    </w:p>
    <w:p w14:paraId="5E4E47BE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ascii="楷体" w:hAnsi="楷体" w:eastAsia="楷体" w:cs="宋体"/>
          <w:kern w:val="0"/>
          <w:sz w:val="24"/>
        </w:rPr>
        <w:t>1</w:t>
      </w:r>
      <w:r>
        <w:rPr>
          <w:rFonts w:hint="eastAsia" w:ascii="楷体" w:hAnsi="楷体" w:eastAsia="楷体" w:cs="宋体"/>
          <w:kern w:val="0"/>
          <w:sz w:val="24"/>
        </w:rPr>
        <w:t>.学业奖学金奖励标准按照“老生老办法，新生新办法”原则，从 202</w:t>
      </w:r>
      <w:r>
        <w:rPr>
          <w:rFonts w:hint="eastAsia" w:ascii="楷体" w:hAnsi="楷体" w:eastAsia="楷体" w:cs="宋体"/>
          <w:kern w:val="0"/>
          <w:sz w:val="24"/>
          <w:lang w:val="en-US" w:eastAsia="zh-CN"/>
        </w:rPr>
        <w:t>4</w:t>
      </w:r>
      <w:r>
        <w:rPr>
          <w:rFonts w:hint="eastAsia" w:ascii="楷体" w:hAnsi="楷体" w:eastAsia="楷体" w:cs="宋体"/>
          <w:kern w:val="0"/>
          <w:sz w:val="24"/>
        </w:rPr>
        <w:t xml:space="preserve"> 级起开始实施新的学业奖学金奖励标准和综合测评办法。其他奖助学金评比办法自本办法发布之日起</w:t>
      </w:r>
      <w:r>
        <w:rPr>
          <w:rFonts w:hint="eastAsia" w:ascii="楷体" w:hAnsi="楷体" w:eastAsia="楷体" w:cs="宋体"/>
          <w:kern w:val="0"/>
          <w:sz w:val="24"/>
          <w:lang w:val="en-US" w:eastAsia="zh-CN"/>
        </w:rPr>
        <w:t>参照</w:t>
      </w:r>
      <w:r>
        <w:rPr>
          <w:rFonts w:hint="eastAsia" w:ascii="楷体" w:hAnsi="楷体" w:eastAsia="楷体" w:cs="宋体"/>
          <w:kern w:val="0"/>
          <w:sz w:val="24"/>
        </w:rPr>
        <w:t>施行。</w:t>
      </w:r>
    </w:p>
    <w:p w14:paraId="5E66ED6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ascii="楷体" w:hAnsi="楷体" w:eastAsia="楷体" w:cs="宋体"/>
          <w:kern w:val="0"/>
          <w:sz w:val="24"/>
        </w:rPr>
        <w:t>2</w:t>
      </w:r>
      <w:r>
        <w:rPr>
          <w:rFonts w:hint="eastAsia" w:ascii="楷体" w:hAnsi="楷体" w:eastAsia="楷体" w:cs="宋体"/>
          <w:kern w:val="0"/>
          <w:sz w:val="24"/>
        </w:rPr>
        <w:t>.</w:t>
      </w:r>
      <w:r>
        <w:rPr>
          <w:rFonts w:hint="eastAsia" w:ascii="楷体" w:hAnsi="楷体" w:eastAsia="楷体" w:cs="宋体"/>
          <w:kern w:val="0"/>
          <w:sz w:val="24"/>
          <w:lang w:val="en-US" w:eastAsia="zh-CN"/>
        </w:rPr>
        <w:t>国家奖学金参照研究生院文件，由综合测评小组评选</w:t>
      </w:r>
      <w:r>
        <w:rPr>
          <w:rFonts w:hint="eastAsia" w:ascii="楷体" w:hAnsi="楷体" w:eastAsia="楷体" w:cs="宋体"/>
          <w:kern w:val="0"/>
          <w:sz w:val="24"/>
        </w:rPr>
        <w:t>。</w:t>
      </w:r>
    </w:p>
    <w:p w14:paraId="4E862604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ascii="楷体" w:hAnsi="楷体" w:eastAsia="楷体" w:cs="宋体"/>
          <w:kern w:val="0"/>
          <w:sz w:val="24"/>
        </w:rPr>
        <w:t>3</w:t>
      </w:r>
      <w:r>
        <w:rPr>
          <w:rFonts w:hint="eastAsia" w:ascii="楷体" w:hAnsi="楷体" w:eastAsia="楷体" w:cs="宋体"/>
          <w:kern w:val="0"/>
          <w:sz w:val="24"/>
        </w:rPr>
        <w:t>.计分材料的截止时间以学院的通知时间为准。</w:t>
      </w:r>
    </w:p>
    <w:p w14:paraId="5CC0AA8C">
      <w:pPr>
        <w:widowControl/>
        <w:spacing w:line="300" w:lineRule="auto"/>
        <w:ind w:firstLine="480" w:firstLineChars="200"/>
        <w:rPr>
          <w:rFonts w:hint="eastAsia" w:ascii="楷体" w:hAnsi="楷体" w:eastAsia="楷体" w:cs="宋体"/>
          <w:kern w:val="0"/>
          <w:sz w:val="24"/>
        </w:rPr>
      </w:pPr>
      <w:r>
        <w:rPr>
          <w:rFonts w:ascii="楷体" w:hAnsi="楷体" w:eastAsia="楷体" w:cs="宋体"/>
          <w:kern w:val="0"/>
          <w:sz w:val="24"/>
        </w:rPr>
        <w:t>4</w:t>
      </w:r>
      <w:r>
        <w:rPr>
          <w:rFonts w:hint="eastAsia" w:ascii="楷体" w:hAnsi="楷体" w:eastAsia="楷体" w:cs="宋体"/>
          <w:kern w:val="0"/>
          <w:sz w:val="24"/>
        </w:rPr>
        <w:t>.本办法由药学院负责解释。</w:t>
      </w:r>
    </w:p>
    <w:p w14:paraId="381E4486">
      <w:pPr>
        <w:widowControl/>
        <w:spacing w:line="300" w:lineRule="auto"/>
        <w:ind w:firstLine="480" w:firstLineChars="200"/>
        <w:rPr>
          <w:rFonts w:hint="eastAsia" w:ascii="楷体" w:hAnsi="楷体" w:eastAsia="楷体" w:cs="宋体"/>
          <w:color w:val="FF0000"/>
          <w:kern w:val="0"/>
          <w:sz w:val="24"/>
          <w:highlight w:val="lightGray"/>
          <w:lang w:val="en-US" w:eastAsia="zh-CN"/>
        </w:rPr>
      </w:pPr>
      <w:r>
        <w:rPr>
          <w:rFonts w:hint="eastAsia" w:ascii="楷体" w:hAnsi="楷体" w:eastAsia="楷体" w:cs="宋体"/>
          <w:color w:val="auto"/>
          <w:kern w:val="0"/>
          <w:sz w:val="24"/>
          <w:highlight w:val="none"/>
          <w:lang w:val="en-US" w:eastAsia="zh-CN"/>
        </w:rPr>
        <w:t>5.同年获得国家奖学金的同学，当年该同学的学业奖学金在原等级上降1级，三等学业奖学金不再降级</w:t>
      </w:r>
    </w:p>
    <w:p w14:paraId="483149BD">
      <w:pPr>
        <w:widowControl/>
        <w:spacing w:line="300" w:lineRule="auto"/>
        <w:ind w:firstLine="480" w:firstLineChars="200"/>
        <w:rPr>
          <w:rFonts w:hint="default" w:ascii="楷体" w:hAnsi="楷体" w:eastAsia="楷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楷体" w:hAnsi="楷体" w:eastAsia="楷体" w:cs="宋体"/>
          <w:color w:val="auto"/>
          <w:kern w:val="0"/>
          <w:sz w:val="24"/>
          <w:highlight w:val="none"/>
          <w:lang w:val="en-US" w:eastAsia="zh-CN"/>
        </w:rPr>
        <w:t>6.实施过程中与研究生院冲突，以研究生院的文件为标准。</w:t>
      </w:r>
    </w:p>
    <w:p w14:paraId="4A010A00">
      <w:pPr>
        <w:widowControl/>
        <w:spacing w:line="30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</w:p>
    <w:p w14:paraId="7F9566B6">
      <w:pPr>
        <w:widowControl/>
        <w:spacing w:line="300" w:lineRule="auto"/>
        <w:ind w:right="960" w:firstLine="480" w:firstLineChars="200"/>
        <w:jc w:val="center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 xml:space="preserve"> </w:t>
      </w:r>
      <w:r>
        <w:rPr>
          <w:rFonts w:ascii="楷体" w:hAnsi="楷体" w:eastAsia="楷体" w:cs="宋体"/>
          <w:kern w:val="0"/>
          <w:sz w:val="24"/>
        </w:rPr>
        <w:t xml:space="preserve">                                                      </w:t>
      </w:r>
      <w:r>
        <w:rPr>
          <w:rFonts w:hint="eastAsia" w:ascii="楷体" w:hAnsi="楷体" w:eastAsia="楷体" w:cs="宋体"/>
          <w:kern w:val="0"/>
          <w:sz w:val="24"/>
        </w:rPr>
        <w:t>药学院</w:t>
      </w:r>
    </w:p>
    <w:p w14:paraId="6215791A">
      <w:pPr>
        <w:widowControl/>
        <w:spacing w:line="300" w:lineRule="auto"/>
        <w:ind w:right="480" w:firstLine="480" w:firstLineChars="200"/>
        <w:jc w:val="right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20</w:t>
      </w:r>
      <w:r>
        <w:rPr>
          <w:rFonts w:ascii="楷体" w:hAnsi="楷体" w:eastAsia="楷体" w:cs="宋体"/>
          <w:kern w:val="0"/>
          <w:sz w:val="24"/>
        </w:rPr>
        <w:t>2</w:t>
      </w:r>
      <w:r>
        <w:rPr>
          <w:rFonts w:hint="eastAsia" w:ascii="楷体" w:hAnsi="楷体" w:eastAsia="楷体" w:cs="宋体"/>
          <w:kern w:val="0"/>
          <w:sz w:val="24"/>
          <w:lang w:val="en-US" w:eastAsia="zh-CN"/>
        </w:rPr>
        <w:t>5</w:t>
      </w:r>
      <w:r>
        <w:rPr>
          <w:rFonts w:hint="eastAsia" w:ascii="楷体" w:hAnsi="楷体" w:eastAsia="楷体" w:cs="宋体"/>
          <w:kern w:val="0"/>
          <w:sz w:val="24"/>
        </w:rPr>
        <w:t>年</w:t>
      </w:r>
      <w:r>
        <w:rPr>
          <w:rFonts w:hint="eastAsia" w:ascii="楷体" w:hAnsi="楷体" w:eastAsia="楷体" w:cs="宋体"/>
          <w:kern w:val="0"/>
          <w:sz w:val="24"/>
          <w:lang w:val="en-US" w:eastAsia="zh-CN"/>
        </w:rPr>
        <w:t>10</w:t>
      </w:r>
      <w:r>
        <w:rPr>
          <w:rFonts w:hint="eastAsia" w:ascii="楷体" w:hAnsi="楷体" w:eastAsia="楷体" w:cs="宋体"/>
          <w:kern w:val="0"/>
          <w:sz w:val="24"/>
        </w:rPr>
        <w:t>月</w:t>
      </w:r>
      <w:r>
        <w:rPr>
          <w:rFonts w:hint="eastAsia" w:ascii="楷体" w:hAnsi="楷体" w:eastAsia="楷体" w:cs="宋体"/>
          <w:kern w:val="0"/>
          <w:sz w:val="24"/>
          <w:lang w:val="en-US" w:eastAsia="zh-CN"/>
        </w:rPr>
        <w:t>17</w:t>
      </w:r>
      <w:r>
        <w:rPr>
          <w:rFonts w:hint="eastAsia" w:ascii="楷体" w:hAnsi="楷体" w:eastAsia="楷体" w:cs="宋体"/>
          <w:kern w:val="0"/>
          <w:sz w:val="24"/>
        </w:rPr>
        <w:t>日</w:t>
      </w:r>
    </w:p>
    <w:sectPr>
      <w:footerReference r:id="rId3" w:type="default"/>
      <w:pgSz w:w="11906" w:h="16838"/>
      <w:pgMar w:top="2098" w:right="1418" w:bottom="170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F83A6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fldChar w:fldCharType="end"/>
    </w:r>
  </w:p>
  <w:p w14:paraId="20E3CAE1">
    <w:pPr>
      <w:pStyle w:val="9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F1B10"/>
    <w:multiLevelType w:val="singleLevel"/>
    <w:tmpl w:val="594F1B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zNGY2M2JmNGQ5Mjk5NWYwYzVkYWQ5MThhOTJjNjkifQ=="/>
  </w:docVars>
  <w:rsids>
    <w:rsidRoot w:val="00EF2A28"/>
    <w:rsid w:val="00000999"/>
    <w:rsid w:val="00016B82"/>
    <w:rsid w:val="00016C60"/>
    <w:rsid w:val="00017AC4"/>
    <w:rsid w:val="00021205"/>
    <w:rsid w:val="00045607"/>
    <w:rsid w:val="00060D01"/>
    <w:rsid w:val="00067826"/>
    <w:rsid w:val="00071CC9"/>
    <w:rsid w:val="00074757"/>
    <w:rsid w:val="00075674"/>
    <w:rsid w:val="000803AD"/>
    <w:rsid w:val="00081F1E"/>
    <w:rsid w:val="00084EA8"/>
    <w:rsid w:val="000B5668"/>
    <w:rsid w:val="000B797B"/>
    <w:rsid w:val="000C371C"/>
    <w:rsid w:val="000C4075"/>
    <w:rsid w:val="000D0B55"/>
    <w:rsid w:val="000D3688"/>
    <w:rsid w:val="000D420A"/>
    <w:rsid w:val="000E5E31"/>
    <w:rsid w:val="000F69D6"/>
    <w:rsid w:val="00100AB6"/>
    <w:rsid w:val="00101100"/>
    <w:rsid w:val="00103E38"/>
    <w:rsid w:val="00113FB6"/>
    <w:rsid w:val="001246A3"/>
    <w:rsid w:val="00141ACE"/>
    <w:rsid w:val="001452AE"/>
    <w:rsid w:val="0016039C"/>
    <w:rsid w:val="001643DE"/>
    <w:rsid w:val="0016715F"/>
    <w:rsid w:val="001A48A0"/>
    <w:rsid w:val="001B031E"/>
    <w:rsid w:val="001B0759"/>
    <w:rsid w:val="001B7731"/>
    <w:rsid w:val="001C66E0"/>
    <w:rsid w:val="001D3D3C"/>
    <w:rsid w:val="001E0347"/>
    <w:rsid w:val="001F4422"/>
    <w:rsid w:val="001F5506"/>
    <w:rsid w:val="001F58E8"/>
    <w:rsid w:val="00201714"/>
    <w:rsid w:val="00203136"/>
    <w:rsid w:val="00204311"/>
    <w:rsid w:val="00224504"/>
    <w:rsid w:val="00225167"/>
    <w:rsid w:val="00226711"/>
    <w:rsid w:val="00227007"/>
    <w:rsid w:val="00227813"/>
    <w:rsid w:val="00232768"/>
    <w:rsid w:val="002350FB"/>
    <w:rsid w:val="00247444"/>
    <w:rsid w:val="002527D1"/>
    <w:rsid w:val="00261011"/>
    <w:rsid w:val="00261D1E"/>
    <w:rsid w:val="00263D71"/>
    <w:rsid w:val="00264E69"/>
    <w:rsid w:val="002769CD"/>
    <w:rsid w:val="00277CD7"/>
    <w:rsid w:val="00281275"/>
    <w:rsid w:val="00293200"/>
    <w:rsid w:val="002B7AE9"/>
    <w:rsid w:val="002C1112"/>
    <w:rsid w:val="002C1A3E"/>
    <w:rsid w:val="002D533F"/>
    <w:rsid w:val="002D59ED"/>
    <w:rsid w:val="002E3333"/>
    <w:rsid w:val="002F3030"/>
    <w:rsid w:val="002F42C2"/>
    <w:rsid w:val="00302E89"/>
    <w:rsid w:val="00303478"/>
    <w:rsid w:val="00314495"/>
    <w:rsid w:val="003216A9"/>
    <w:rsid w:val="003240F3"/>
    <w:rsid w:val="003244B5"/>
    <w:rsid w:val="003422E9"/>
    <w:rsid w:val="00344867"/>
    <w:rsid w:val="0034553A"/>
    <w:rsid w:val="00353002"/>
    <w:rsid w:val="00353DF7"/>
    <w:rsid w:val="003729CF"/>
    <w:rsid w:val="00373078"/>
    <w:rsid w:val="003757C8"/>
    <w:rsid w:val="0038090E"/>
    <w:rsid w:val="00380A76"/>
    <w:rsid w:val="003826D5"/>
    <w:rsid w:val="00386F94"/>
    <w:rsid w:val="00391CB9"/>
    <w:rsid w:val="003A677F"/>
    <w:rsid w:val="003A7AB0"/>
    <w:rsid w:val="003D7347"/>
    <w:rsid w:val="003E0CD4"/>
    <w:rsid w:val="003E19EB"/>
    <w:rsid w:val="003E1B49"/>
    <w:rsid w:val="003E2345"/>
    <w:rsid w:val="003F0B3C"/>
    <w:rsid w:val="003F4E61"/>
    <w:rsid w:val="004041A5"/>
    <w:rsid w:val="0042102D"/>
    <w:rsid w:val="00425AEF"/>
    <w:rsid w:val="00425D68"/>
    <w:rsid w:val="004317CA"/>
    <w:rsid w:val="00432586"/>
    <w:rsid w:val="0043519D"/>
    <w:rsid w:val="00441527"/>
    <w:rsid w:val="0044502F"/>
    <w:rsid w:val="0045170D"/>
    <w:rsid w:val="00454D68"/>
    <w:rsid w:val="00454F59"/>
    <w:rsid w:val="0046061F"/>
    <w:rsid w:val="004826BA"/>
    <w:rsid w:val="00483EB2"/>
    <w:rsid w:val="00484AF4"/>
    <w:rsid w:val="00490A04"/>
    <w:rsid w:val="00491840"/>
    <w:rsid w:val="004929AD"/>
    <w:rsid w:val="004943F2"/>
    <w:rsid w:val="004B76E5"/>
    <w:rsid w:val="004C309B"/>
    <w:rsid w:val="004E290B"/>
    <w:rsid w:val="004F2E4E"/>
    <w:rsid w:val="00505B43"/>
    <w:rsid w:val="00505BF7"/>
    <w:rsid w:val="00517E02"/>
    <w:rsid w:val="005228D5"/>
    <w:rsid w:val="00522E00"/>
    <w:rsid w:val="005238BF"/>
    <w:rsid w:val="00535B4F"/>
    <w:rsid w:val="005424C9"/>
    <w:rsid w:val="00545214"/>
    <w:rsid w:val="005501B8"/>
    <w:rsid w:val="00556EC1"/>
    <w:rsid w:val="00571A07"/>
    <w:rsid w:val="00571C5D"/>
    <w:rsid w:val="00575653"/>
    <w:rsid w:val="00575B3A"/>
    <w:rsid w:val="00595832"/>
    <w:rsid w:val="00597D4C"/>
    <w:rsid w:val="005A05F0"/>
    <w:rsid w:val="005A4D60"/>
    <w:rsid w:val="005B0D55"/>
    <w:rsid w:val="005B190D"/>
    <w:rsid w:val="005C217A"/>
    <w:rsid w:val="005D1BC3"/>
    <w:rsid w:val="005D1CC1"/>
    <w:rsid w:val="005D262F"/>
    <w:rsid w:val="005D6C6A"/>
    <w:rsid w:val="005E3762"/>
    <w:rsid w:val="005E376E"/>
    <w:rsid w:val="005F6AB8"/>
    <w:rsid w:val="00630D7A"/>
    <w:rsid w:val="006352D7"/>
    <w:rsid w:val="00657631"/>
    <w:rsid w:val="006603BA"/>
    <w:rsid w:val="00671AFD"/>
    <w:rsid w:val="00677D20"/>
    <w:rsid w:val="00682F99"/>
    <w:rsid w:val="00683063"/>
    <w:rsid w:val="00683791"/>
    <w:rsid w:val="00684872"/>
    <w:rsid w:val="00684891"/>
    <w:rsid w:val="00687759"/>
    <w:rsid w:val="006A2968"/>
    <w:rsid w:val="006A7340"/>
    <w:rsid w:val="006B4B06"/>
    <w:rsid w:val="006C003A"/>
    <w:rsid w:val="006C1BDA"/>
    <w:rsid w:val="006D3AE9"/>
    <w:rsid w:val="006D509B"/>
    <w:rsid w:val="006D7B55"/>
    <w:rsid w:val="006E0FB1"/>
    <w:rsid w:val="006E1EAE"/>
    <w:rsid w:val="006E3A73"/>
    <w:rsid w:val="006E7B2D"/>
    <w:rsid w:val="006F4DD5"/>
    <w:rsid w:val="00705EDC"/>
    <w:rsid w:val="0071535D"/>
    <w:rsid w:val="00723754"/>
    <w:rsid w:val="0072488B"/>
    <w:rsid w:val="0072596D"/>
    <w:rsid w:val="007259BC"/>
    <w:rsid w:val="007421CA"/>
    <w:rsid w:val="00744169"/>
    <w:rsid w:val="007443A6"/>
    <w:rsid w:val="00750632"/>
    <w:rsid w:val="00751939"/>
    <w:rsid w:val="00764EE1"/>
    <w:rsid w:val="00775724"/>
    <w:rsid w:val="007A39F0"/>
    <w:rsid w:val="007A5CA0"/>
    <w:rsid w:val="007A77EB"/>
    <w:rsid w:val="007A7A26"/>
    <w:rsid w:val="007B0FB8"/>
    <w:rsid w:val="007B59D1"/>
    <w:rsid w:val="007C7A27"/>
    <w:rsid w:val="007D1700"/>
    <w:rsid w:val="007D4D8A"/>
    <w:rsid w:val="007E11E3"/>
    <w:rsid w:val="007E1F71"/>
    <w:rsid w:val="007E665B"/>
    <w:rsid w:val="007E779B"/>
    <w:rsid w:val="007F129E"/>
    <w:rsid w:val="00814061"/>
    <w:rsid w:val="00824977"/>
    <w:rsid w:val="00830FF7"/>
    <w:rsid w:val="008336F4"/>
    <w:rsid w:val="00841B03"/>
    <w:rsid w:val="00842FE8"/>
    <w:rsid w:val="00844E41"/>
    <w:rsid w:val="0085218E"/>
    <w:rsid w:val="0086701E"/>
    <w:rsid w:val="0086765D"/>
    <w:rsid w:val="00875AF7"/>
    <w:rsid w:val="00881F04"/>
    <w:rsid w:val="00893740"/>
    <w:rsid w:val="00894B5C"/>
    <w:rsid w:val="0089523B"/>
    <w:rsid w:val="008B07E7"/>
    <w:rsid w:val="008B7942"/>
    <w:rsid w:val="008C27B3"/>
    <w:rsid w:val="008D03A7"/>
    <w:rsid w:val="008D60EF"/>
    <w:rsid w:val="008D7DD6"/>
    <w:rsid w:val="008F7616"/>
    <w:rsid w:val="0090598B"/>
    <w:rsid w:val="0091069A"/>
    <w:rsid w:val="00912D2B"/>
    <w:rsid w:val="00912D37"/>
    <w:rsid w:val="00921EB7"/>
    <w:rsid w:val="00933242"/>
    <w:rsid w:val="00935B0E"/>
    <w:rsid w:val="009365B4"/>
    <w:rsid w:val="00957E58"/>
    <w:rsid w:val="00971891"/>
    <w:rsid w:val="00974DFD"/>
    <w:rsid w:val="00983C28"/>
    <w:rsid w:val="00983D12"/>
    <w:rsid w:val="00986325"/>
    <w:rsid w:val="0098705F"/>
    <w:rsid w:val="00990148"/>
    <w:rsid w:val="00992346"/>
    <w:rsid w:val="009B25FD"/>
    <w:rsid w:val="009B357F"/>
    <w:rsid w:val="009C2C87"/>
    <w:rsid w:val="009C7602"/>
    <w:rsid w:val="009D3002"/>
    <w:rsid w:val="009E087B"/>
    <w:rsid w:val="009F271C"/>
    <w:rsid w:val="00A05E98"/>
    <w:rsid w:val="00A17D44"/>
    <w:rsid w:val="00A21E6E"/>
    <w:rsid w:val="00A230DA"/>
    <w:rsid w:val="00A2764D"/>
    <w:rsid w:val="00A30B02"/>
    <w:rsid w:val="00A312AC"/>
    <w:rsid w:val="00A33AEF"/>
    <w:rsid w:val="00A363F0"/>
    <w:rsid w:val="00A3692B"/>
    <w:rsid w:val="00A526E8"/>
    <w:rsid w:val="00A54BC6"/>
    <w:rsid w:val="00A6259B"/>
    <w:rsid w:val="00A62A57"/>
    <w:rsid w:val="00A713C7"/>
    <w:rsid w:val="00A71FB1"/>
    <w:rsid w:val="00A75471"/>
    <w:rsid w:val="00A8433E"/>
    <w:rsid w:val="00A925FB"/>
    <w:rsid w:val="00A96E56"/>
    <w:rsid w:val="00AA24C2"/>
    <w:rsid w:val="00AA7CB7"/>
    <w:rsid w:val="00AB5EB2"/>
    <w:rsid w:val="00AD03A9"/>
    <w:rsid w:val="00AE0859"/>
    <w:rsid w:val="00AE365B"/>
    <w:rsid w:val="00AF5C5C"/>
    <w:rsid w:val="00AF6B3F"/>
    <w:rsid w:val="00AF755A"/>
    <w:rsid w:val="00B00BD6"/>
    <w:rsid w:val="00B01897"/>
    <w:rsid w:val="00B07214"/>
    <w:rsid w:val="00B1525F"/>
    <w:rsid w:val="00B170F3"/>
    <w:rsid w:val="00B24F8A"/>
    <w:rsid w:val="00B31F63"/>
    <w:rsid w:val="00B33A59"/>
    <w:rsid w:val="00B43CD4"/>
    <w:rsid w:val="00B52CC8"/>
    <w:rsid w:val="00B6326B"/>
    <w:rsid w:val="00B74B95"/>
    <w:rsid w:val="00B77641"/>
    <w:rsid w:val="00B8261E"/>
    <w:rsid w:val="00B82DD1"/>
    <w:rsid w:val="00B873E8"/>
    <w:rsid w:val="00B92164"/>
    <w:rsid w:val="00B960C6"/>
    <w:rsid w:val="00B9688C"/>
    <w:rsid w:val="00BA3A89"/>
    <w:rsid w:val="00BB0B84"/>
    <w:rsid w:val="00BB1BAE"/>
    <w:rsid w:val="00BB4898"/>
    <w:rsid w:val="00BB796E"/>
    <w:rsid w:val="00BC5B65"/>
    <w:rsid w:val="00BF27B7"/>
    <w:rsid w:val="00BF4403"/>
    <w:rsid w:val="00BF5810"/>
    <w:rsid w:val="00C05E98"/>
    <w:rsid w:val="00C1106C"/>
    <w:rsid w:val="00C22EEC"/>
    <w:rsid w:val="00C24B15"/>
    <w:rsid w:val="00C271B5"/>
    <w:rsid w:val="00C31100"/>
    <w:rsid w:val="00C35A07"/>
    <w:rsid w:val="00C514D2"/>
    <w:rsid w:val="00C60D17"/>
    <w:rsid w:val="00C776D4"/>
    <w:rsid w:val="00C841BF"/>
    <w:rsid w:val="00C912A5"/>
    <w:rsid w:val="00C955AE"/>
    <w:rsid w:val="00CB1DAF"/>
    <w:rsid w:val="00CB5735"/>
    <w:rsid w:val="00CC1D56"/>
    <w:rsid w:val="00CC6021"/>
    <w:rsid w:val="00CC7F7D"/>
    <w:rsid w:val="00CD1002"/>
    <w:rsid w:val="00CE0195"/>
    <w:rsid w:val="00CF072D"/>
    <w:rsid w:val="00CF76D4"/>
    <w:rsid w:val="00D13722"/>
    <w:rsid w:val="00D23A3C"/>
    <w:rsid w:val="00D3319C"/>
    <w:rsid w:val="00D33403"/>
    <w:rsid w:val="00D418B5"/>
    <w:rsid w:val="00D45450"/>
    <w:rsid w:val="00D52FFD"/>
    <w:rsid w:val="00D54C9B"/>
    <w:rsid w:val="00D73F1A"/>
    <w:rsid w:val="00D90E98"/>
    <w:rsid w:val="00DC6C8F"/>
    <w:rsid w:val="00DD06B1"/>
    <w:rsid w:val="00DD0B4E"/>
    <w:rsid w:val="00DD16A5"/>
    <w:rsid w:val="00DD351F"/>
    <w:rsid w:val="00DD402A"/>
    <w:rsid w:val="00DD5580"/>
    <w:rsid w:val="00DF0F68"/>
    <w:rsid w:val="00E10476"/>
    <w:rsid w:val="00E10B2C"/>
    <w:rsid w:val="00E12BC4"/>
    <w:rsid w:val="00E276E8"/>
    <w:rsid w:val="00E3464F"/>
    <w:rsid w:val="00E402CE"/>
    <w:rsid w:val="00E5074B"/>
    <w:rsid w:val="00E62772"/>
    <w:rsid w:val="00E62A92"/>
    <w:rsid w:val="00E654C4"/>
    <w:rsid w:val="00E70D19"/>
    <w:rsid w:val="00E73F4E"/>
    <w:rsid w:val="00E82B07"/>
    <w:rsid w:val="00E84431"/>
    <w:rsid w:val="00E93F42"/>
    <w:rsid w:val="00E95EB2"/>
    <w:rsid w:val="00EA0419"/>
    <w:rsid w:val="00EA3F6B"/>
    <w:rsid w:val="00EA5D98"/>
    <w:rsid w:val="00EB559F"/>
    <w:rsid w:val="00EB7F9A"/>
    <w:rsid w:val="00EC189D"/>
    <w:rsid w:val="00ED531C"/>
    <w:rsid w:val="00EE0944"/>
    <w:rsid w:val="00EE78A1"/>
    <w:rsid w:val="00EF25D0"/>
    <w:rsid w:val="00EF2A28"/>
    <w:rsid w:val="00EF2CA0"/>
    <w:rsid w:val="00EF6071"/>
    <w:rsid w:val="00F105F3"/>
    <w:rsid w:val="00F14BF7"/>
    <w:rsid w:val="00F227A2"/>
    <w:rsid w:val="00F41303"/>
    <w:rsid w:val="00F41E53"/>
    <w:rsid w:val="00F44D45"/>
    <w:rsid w:val="00F51E95"/>
    <w:rsid w:val="00F55AE6"/>
    <w:rsid w:val="00F60DA4"/>
    <w:rsid w:val="00F7325D"/>
    <w:rsid w:val="00F7771E"/>
    <w:rsid w:val="00F82617"/>
    <w:rsid w:val="00F93DDD"/>
    <w:rsid w:val="00F95D5A"/>
    <w:rsid w:val="00FA305A"/>
    <w:rsid w:val="00FA5F2C"/>
    <w:rsid w:val="00FA67D9"/>
    <w:rsid w:val="00FB7A39"/>
    <w:rsid w:val="00FD631E"/>
    <w:rsid w:val="00FE06DD"/>
    <w:rsid w:val="00FE15CD"/>
    <w:rsid w:val="00FF16B2"/>
    <w:rsid w:val="00FF25D2"/>
    <w:rsid w:val="01D267D3"/>
    <w:rsid w:val="0284231A"/>
    <w:rsid w:val="02F21368"/>
    <w:rsid w:val="02F34841"/>
    <w:rsid w:val="02F93056"/>
    <w:rsid w:val="03084CFA"/>
    <w:rsid w:val="031C02BE"/>
    <w:rsid w:val="03351867"/>
    <w:rsid w:val="042A6EF2"/>
    <w:rsid w:val="056E1105"/>
    <w:rsid w:val="059A3C03"/>
    <w:rsid w:val="06147E59"/>
    <w:rsid w:val="06EB2968"/>
    <w:rsid w:val="078D3A1F"/>
    <w:rsid w:val="081163FE"/>
    <w:rsid w:val="0A2F7010"/>
    <w:rsid w:val="0AAF1EFF"/>
    <w:rsid w:val="0C9413AC"/>
    <w:rsid w:val="0D761803"/>
    <w:rsid w:val="0E1C5AFD"/>
    <w:rsid w:val="0E722421"/>
    <w:rsid w:val="0EAF071F"/>
    <w:rsid w:val="108D4A90"/>
    <w:rsid w:val="109C0F4B"/>
    <w:rsid w:val="10E072B6"/>
    <w:rsid w:val="12C237D3"/>
    <w:rsid w:val="12D76496"/>
    <w:rsid w:val="12DC01BC"/>
    <w:rsid w:val="132A664C"/>
    <w:rsid w:val="13427DB4"/>
    <w:rsid w:val="13C94031"/>
    <w:rsid w:val="1441006B"/>
    <w:rsid w:val="15B45319"/>
    <w:rsid w:val="169E79F7"/>
    <w:rsid w:val="17FF2717"/>
    <w:rsid w:val="183A72AB"/>
    <w:rsid w:val="189D0C7D"/>
    <w:rsid w:val="18A6584F"/>
    <w:rsid w:val="18F90F15"/>
    <w:rsid w:val="195D7578"/>
    <w:rsid w:val="1A0C70B0"/>
    <w:rsid w:val="1A172150"/>
    <w:rsid w:val="1A864A2A"/>
    <w:rsid w:val="1B530684"/>
    <w:rsid w:val="1D161D2E"/>
    <w:rsid w:val="1D4B401E"/>
    <w:rsid w:val="1D8F0099"/>
    <w:rsid w:val="1DDC2C05"/>
    <w:rsid w:val="1DF779ED"/>
    <w:rsid w:val="1ECF02CA"/>
    <w:rsid w:val="1FDC50EC"/>
    <w:rsid w:val="1FF266BE"/>
    <w:rsid w:val="20120B0E"/>
    <w:rsid w:val="201D5944"/>
    <w:rsid w:val="20C71543"/>
    <w:rsid w:val="20D27C6C"/>
    <w:rsid w:val="20D83B05"/>
    <w:rsid w:val="21AE002E"/>
    <w:rsid w:val="246C72D2"/>
    <w:rsid w:val="24B93C4E"/>
    <w:rsid w:val="24E714B2"/>
    <w:rsid w:val="255676EF"/>
    <w:rsid w:val="25B83F05"/>
    <w:rsid w:val="260333D3"/>
    <w:rsid w:val="265F5648"/>
    <w:rsid w:val="26B219DC"/>
    <w:rsid w:val="27DC037F"/>
    <w:rsid w:val="27EC60E8"/>
    <w:rsid w:val="284E28FF"/>
    <w:rsid w:val="285C6C13"/>
    <w:rsid w:val="28AF15F0"/>
    <w:rsid w:val="29430F3E"/>
    <w:rsid w:val="29FC0E58"/>
    <w:rsid w:val="2A314286"/>
    <w:rsid w:val="2A930A9D"/>
    <w:rsid w:val="2AB90504"/>
    <w:rsid w:val="2AC1560A"/>
    <w:rsid w:val="2B3B53BD"/>
    <w:rsid w:val="2B7A1BDF"/>
    <w:rsid w:val="2B7D3C27"/>
    <w:rsid w:val="2C057779"/>
    <w:rsid w:val="2C2045B2"/>
    <w:rsid w:val="2CC36CA8"/>
    <w:rsid w:val="2CF577ED"/>
    <w:rsid w:val="2D8D6864"/>
    <w:rsid w:val="2E0E6DB8"/>
    <w:rsid w:val="2EE90DA5"/>
    <w:rsid w:val="304C3BC8"/>
    <w:rsid w:val="30EC32E4"/>
    <w:rsid w:val="31AA6DF8"/>
    <w:rsid w:val="32112EEC"/>
    <w:rsid w:val="325925CC"/>
    <w:rsid w:val="32877139"/>
    <w:rsid w:val="32BD0DAD"/>
    <w:rsid w:val="333D5A4A"/>
    <w:rsid w:val="33800A89"/>
    <w:rsid w:val="33AA1331"/>
    <w:rsid w:val="34BB22D5"/>
    <w:rsid w:val="35B21912"/>
    <w:rsid w:val="35B25B99"/>
    <w:rsid w:val="36494110"/>
    <w:rsid w:val="36E7289C"/>
    <w:rsid w:val="36F9612C"/>
    <w:rsid w:val="372918ED"/>
    <w:rsid w:val="37465815"/>
    <w:rsid w:val="379245B6"/>
    <w:rsid w:val="38593326"/>
    <w:rsid w:val="38B844F1"/>
    <w:rsid w:val="38F4304F"/>
    <w:rsid w:val="39FA4695"/>
    <w:rsid w:val="3A3000B7"/>
    <w:rsid w:val="3BB43A35"/>
    <w:rsid w:val="3BDA652C"/>
    <w:rsid w:val="3C6F4D2D"/>
    <w:rsid w:val="3C833B0A"/>
    <w:rsid w:val="3D121CF5"/>
    <w:rsid w:val="3D3D7D88"/>
    <w:rsid w:val="3D600CB3"/>
    <w:rsid w:val="3D69245B"/>
    <w:rsid w:val="3DBA6615"/>
    <w:rsid w:val="3E1C5DBD"/>
    <w:rsid w:val="3F3B6B46"/>
    <w:rsid w:val="405B1795"/>
    <w:rsid w:val="40C854ED"/>
    <w:rsid w:val="41252B76"/>
    <w:rsid w:val="41AE6491"/>
    <w:rsid w:val="44F81CBA"/>
    <w:rsid w:val="45154A79"/>
    <w:rsid w:val="45230F44"/>
    <w:rsid w:val="45641C2D"/>
    <w:rsid w:val="45CC3389"/>
    <w:rsid w:val="45FB5A1D"/>
    <w:rsid w:val="464F5D68"/>
    <w:rsid w:val="46AC4F69"/>
    <w:rsid w:val="46B02CAB"/>
    <w:rsid w:val="46D51DCC"/>
    <w:rsid w:val="46E91D19"/>
    <w:rsid w:val="46FD57C4"/>
    <w:rsid w:val="47647DA4"/>
    <w:rsid w:val="47CA62FA"/>
    <w:rsid w:val="481A371E"/>
    <w:rsid w:val="487A5172"/>
    <w:rsid w:val="495C67D2"/>
    <w:rsid w:val="49A60C0A"/>
    <w:rsid w:val="4A2D63C1"/>
    <w:rsid w:val="4A2F5ACC"/>
    <w:rsid w:val="4A4060F4"/>
    <w:rsid w:val="4C77055A"/>
    <w:rsid w:val="4CBB7CB4"/>
    <w:rsid w:val="4CFE5DF2"/>
    <w:rsid w:val="4CFF4C53"/>
    <w:rsid w:val="4D0C1F1E"/>
    <w:rsid w:val="4D680CE9"/>
    <w:rsid w:val="4D8207D1"/>
    <w:rsid w:val="4DEB6377"/>
    <w:rsid w:val="4EB64BD7"/>
    <w:rsid w:val="4F8E2FC5"/>
    <w:rsid w:val="4FDC1B47"/>
    <w:rsid w:val="4FED2A48"/>
    <w:rsid w:val="4FFC0D0F"/>
    <w:rsid w:val="508B3E41"/>
    <w:rsid w:val="508D39AF"/>
    <w:rsid w:val="51954F77"/>
    <w:rsid w:val="51A11B6E"/>
    <w:rsid w:val="51E87B0D"/>
    <w:rsid w:val="521D6718"/>
    <w:rsid w:val="523D116B"/>
    <w:rsid w:val="52D813A0"/>
    <w:rsid w:val="536270DB"/>
    <w:rsid w:val="53964FD7"/>
    <w:rsid w:val="53E61ABA"/>
    <w:rsid w:val="543A17D0"/>
    <w:rsid w:val="54A86D6F"/>
    <w:rsid w:val="54C53DC5"/>
    <w:rsid w:val="56FF2E93"/>
    <w:rsid w:val="57EA769F"/>
    <w:rsid w:val="58E56ABE"/>
    <w:rsid w:val="592D018B"/>
    <w:rsid w:val="5A032C9A"/>
    <w:rsid w:val="5ADD173D"/>
    <w:rsid w:val="5B5D6BFC"/>
    <w:rsid w:val="5B8609D0"/>
    <w:rsid w:val="5B8B1199"/>
    <w:rsid w:val="5BC16894"/>
    <w:rsid w:val="5C6914DA"/>
    <w:rsid w:val="5CE60BD2"/>
    <w:rsid w:val="5DE15C7D"/>
    <w:rsid w:val="5EEB5A2A"/>
    <w:rsid w:val="5F1F2324"/>
    <w:rsid w:val="5F2711D9"/>
    <w:rsid w:val="603E4A2C"/>
    <w:rsid w:val="60B30F76"/>
    <w:rsid w:val="61231EBF"/>
    <w:rsid w:val="61561AD0"/>
    <w:rsid w:val="616E30EF"/>
    <w:rsid w:val="618C17C7"/>
    <w:rsid w:val="61CD250B"/>
    <w:rsid w:val="61E4756A"/>
    <w:rsid w:val="632E0D88"/>
    <w:rsid w:val="63534C92"/>
    <w:rsid w:val="653463FD"/>
    <w:rsid w:val="653D3504"/>
    <w:rsid w:val="656E5DB3"/>
    <w:rsid w:val="661C580F"/>
    <w:rsid w:val="68112A26"/>
    <w:rsid w:val="681A78FB"/>
    <w:rsid w:val="697414BE"/>
    <w:rsid w:val="6977625C"/>
    <w:rsid w:val="69C45FA2"/>
    <w:rsid w:val="6A3A3496"/>
    <w:rsid w:val="6A3A6264"/>
    <w:rsid w:val="6B3C3692"/>
    <w:rsid w:val="6B4844BF"/>
    <w:rsid w:val="6C67530A"/>
    <w:rsid w:val="6DA265FA"/>
    <w:rsid w:val="6DF1132F"/>
    <w:rsid w:val="6E761835"/>
    <w:rsid w:val="6F71799A"/>
    <w:rsid w:val="71C50B09"/>
    <w:rsid w:val="71EE3A23"/>
    <w:rsid w:val="72FB731A"/>
    <w:rsid w:val="736774CD"/>
    <w:rsid w:val="738A3774"/>
    <w:rsid w:val="746C5880"/>
    <w:rsid w:val="746E6A81"/>
    <w:rsid w:val="74E941CB"/>
    <w:rsid w:val="750018DF"/>
    <w:rsid w:val="751D0C5C"/>
    <w:rsid w:val="759557A6"/>
    <w:rsid w:val="759A3FA0"/>
    <w:rsid w:val="766052A4"/>
    <w:rsid w:val="77AB254F"/>
    <w:rsid w:val="78B31819"/>
    <w:rsid w:val="79870D9A"/>
    <w:rsid w:val="79B0209F"/>
    <w:rsid w:val="79E166FC"/>
    <w:rsid w:val="79E65AC0"/>
    <w:rsid w:val="7AFB559C"/>
    <w:rsid w:val="7B14665D"/>
    <w:rsid w:val="7B2745E3"/>
    <w:rsid w:val="7B3D6DF4"/>
    <w:rsid w:val="7B6C6499"/>
    <w:rsid w:val="7B8437E3"/>
    <w:rsid w:val="7BBA3EC1"/>
    <w:rsid w:val="7BD77DB7"/>
    <w:rsid w:val="7BF00E78"/>
    <w:rsid w:val="7C7B2E38"/>
    <w:rsid w:val="7CE3278B"/>
    <w:rsid w:val="7D562F5D"/>
    <w:rsid w:val="7D6351F7"/>
    <w:rsid w:val="7D776F5D"/>
    <w:rsid w:val="7D9A4169"/>
    <w:rsid w:val="7E855DA6"/>
    <w:rsid w:val="7EA74CF5"/>
    <w:rsid w:val="7F511C2E"/>
    <w:rsid w:val="7F6A7194"/>
    <w:rsid w:val="7F89761A"/>
    <w:rsid w:val="7FA3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/>
      <w:jc w:val="center"/>
      <w:outlineLvl w:val="0"/>
    </w:pPr>
    <w:rPr>
      <w:rFonts w:eastAsia="黑体" w:cs="Calibri"/>
      <w:bCs/>
      <w:kern w:val="44"/>
      <w:sz w:val="36"/>
      <w:szCs w:val="44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qFormat/>
    <w:uiPriority w:val="0"/>
    <w:pPr>
      <w:jc w:val="left"/>
    </w:pPr>
  </w:style>
  <w:style w:type="paragraph" w:styleId="5">
    <w:name w:val="Body Text"/>
    <w:basedOn w:val="1"/>
    <w:link w:val="20"/>
    <w:qFormat/>
    <w:uiPriority w:val="0"/>
    <w:pPr>
      <w:spacing w:after="120"/>
    </w:pPr>
  </w:style>
  <w:style w:type="paragraph" w:styleId="6">
    <w:name w:val="Body Text Indent"/>
    <w:basedOn w:val="1"/>
    <w:link w:val="21"/>
    <w:qFormat/>
    <w:uiPriority w:val="0"/>
    <w:pPr>
      <w:spacing w:line="560" w:lineRule="exact"/>
      <w:ind w:firstLine="540"/>
    </w:pPr>
    <w:rPr>
      <w:rFonts w:ascii="仿宋_GB2312" w:eastAsia="仿宋_GB2312"/>
      <w:sz w:val="28"/>
    </w:rPr>
  </w:style>
  <w:style w:type="paragraph" w:styleId="7">
    <w:name w:val="Date"/>
    <w:basedOn w:val="1"/>
    <w:next w:val="1"/>
    <w:link w:val="26"/>
    <w:qFormat/>
    <w:uiPriority w:val="0"/>
    <w:pPr>
      <w:ind w:left="100" w:leftChars="2500"/>
    </w:p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page number"/>
    <w:basedOn w:val="14"/>
    <w:qFormat/>
    <w:uiPriority w:val="0"/>
    <w:rPr>
      <w:rFonts w:ascii="Times New Roman" w:hAnsi="Times New Roman" w:eastAsia="宋体" w:cs="Times New Roman"/>
    </w:rPr>
  </w:style>
  <w:style w:type="paragraph" w:customStyle="1" w:styleId="17">
    <w:name w:val="Char Char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18">
    <w:name w:val="标题 2 字符"/>
    <w:basedOn w:val="14"/>
    <w:link w:val="3"/>
    <w:qFormat/>
    <w:uiPriority w:val="0"/>
    <w:rPr>
      <w:rFonts w:ascii="Arial" w:hAnsi="Arial" w:eastAsia="黑体" w:cs="Times New Roman"/>
      <w:b/>
      <w:bCs/>
      <w:kern w:val="2"/>
      <w:sz w:val="32"/>
      <w:szCs w:val="32"/>
    </w:rPr>
  </w:style>
  <w:style w:type="character" w:customStyle="1" w:styleId="19">
    <w:name w:val="char1"/>
    <w:qFormat/>
    <w:uiPriority w:val="0"/>
    <w:rPr>
      <w:rFonts w:ascii="Times New Roman" w:hAnsi="Times New Roman" w:eastAsia="宋体" w:cs="Times New Roman"/>
      <w:color w:val="165B9E"/>
      <w:sz w:val="18"/>
      <w:szCs w:val="18"/>
      <w:u w:val="none"/>
    </w:rPr>
  </w:style>
  <w:style w:type="character" w:customStyle="1" w:styleId="20">
    <w:name w:val="正文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正文文本缩进 字符"/>
    <w:basedOn w:val="14"/>
    <w:link w:val="6"/>
    <w:qFormat/>
    <w:uiPriority w:val="0"/>
    <w:rPr>
      <w:rFonts w:ascii="仿宋_GB2312" w:hAnsi="Times New Roman" w:eastAsia="仿宋_GB2312" w:cs="Times New Roman"/>
      <w:kern w:val="2"/>
      <w:sz w:val="28"/>
      <w:szCs w:val="24"/>
    </w:rPr>
  </w:style>
  <w:style w:type="character" w:customStyle="1" w:styleId="22">
    <w:name w:val="批注文字 字符"/>
    <w:basedOn w:val="14"/>
    <w:link w:val="4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页眉 字符"/>
    <w:basedOn w:val="14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页脚 字符"/>
    <w:basedOn w:val="14"/>
    <w:link w:val="9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5">
    <w:name w:val="批注框文本 字符"/>
    <w:basedOn w:val="14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6">
    <w:name w:val="日期 字符"/>
    <w:basedOn w:val="14"/>
    <w:link w:val="7"/>
    <w:qFormat/>
    <w:uiPriority w:val="0"/>
    <w:rPr>
      <w:kern w:val="2"/>
      <w:sz w:val="21"/>
      <w:szCs w:val="24"/>
    </w:r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5248</Words>
  <Characters>5595</Characters>
  <Lines>40</Lines>
  <Paragraphs>11</Paragraphs>
  <TotalTime>30</TotalTime>
  <ScaleCrop>false</ScaleCrop>
  <LinksUpToDate>false</LinksUpToDate>
  <CharactersWithSpaces>5661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2023-11-06T02:08:00Z</dcterms:created>
  <dc:creator>Administrator</dc:creator>
  <cp:lastModifiedBy>jinshuo</cp:lastModifiedBy>
  <dcterms:modified xsi:type="dcterms:W3CDTF">2026-05-14T07:54:00Z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F5F8A8CC4BAE4E4EB2712CCBE2D97E66_13</vt:lpwstr>
  </property>
  <property fmtid="{D5CDD505-2E9C-101B-9397-08002B2CF9AE}" pid="4" name="KSOTemplateDocerSaveRecord">
    <vt:lpwstr>eyJoZGlkIjoiNDllZDZkODE4YjZlNDU5MDFlZDY1NjY2ZDc0YjI5OTkiLCJ1c2VySWQiOiIxMDM2ODg2MTQ4In0=</vt:lpwstr>
  </property>
</Properties>
</file>